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hint="eastAsia" w:ascii="仿宋" w:hAnsi="仿宋" w:eastAsia="仿宋"/>
          <w:color w:val="auto"/>
          <w:sz w:val="52"/>
          <w:highlight w:val="none"/>
        </w:rPr>
      </w:pPr>
    </w:p>
    <w:p>
      <w:pPr>
        <w:spacing w:line="360" w:lineRule="auto"/>
        <w:jc w:val="center"/>
        <w:rPr>
          <w:rFonts w:hint="eastAsia" w:ascii="仿宋" w:hAnsi="仿宋" w:eastAsia="仿宋" w:cs="仿宋"/>
          <w:b/>
          <w:color w:val="auto"/>
          <w:sz w:val="44"/>
          <w:szCs w:val="44"/>
          <w:lang w:eastAsia="zh-CN"/>
        </w:rPr>
      </w:pPr>
      <w:r>
        <w:rPr>
          <w:rFonts w:hint="eastAsia" w:ascii="仿宋" w:hAnsi="仿宋" w:eastAsia="仿宋" w:cs="仿宋"/>
          <w:b/>
          <w:sz w:val="44"/>
          <w:szCs w:val="44"/>
          <w:lang w:eastAsia="zh-CN"/>
        </w:rPr>
        <w:t>南川区严家坝(华尔寺)水厂工程-厂外给水管网（补充材料）</w:t>
      </w:r>
    </w:p>
    <w:p>
      <w:pPr>
        <w:spacing w:line="1600" w:lineRule="exact"/>
        <w:jc w:val="center"/>
        <w:outlineLvl w:val="0"/>
        <w:rPr>
          <w:rFonts w:hint="eastAsia" w:ascii="黑体" w:hAnsi="黑体" w:eastAsia="黑体" w:cs="黑体"/>
          <w:b/>
          <w:color w:val="auto"/>
          <w:sz w:val="130"/>
          <w:szCs w:val="130"/>
          <w:highlight w:val="none"/>
        </w:rPr>
      </w:pPr>
    </w:p>
    <w:p>
      <w:pPr>
        <w:pStyle w:val="2"/>
        <w:rPr>
          <w:rFonts w:hint="eastAsia" w:ascii="黑体" w:hAnsi="黑体" w:eastAsia="黑体" w:cs="黑体"/>
          <w:b/>
          <w:color w:val="auto"/>
          <w:sz w:val="130"/>
          <w:szCs w:val="130"/>
          <w:highlight w:val="none"/>
        </w:rPr>
      </w:pPr>
    </w:p>
    <w:p>
      <w:pPr>
        <w:pStyle w:val="68"/>
        <w:rPr>
          <w:rFonts w:hint="eastAsia"/>
          <w:color w:val="auto"/>
          <w:highlight w:val="none"/>
        </w:rPr>
      </w:pPr>
    </w:p>
    <w:p>
      <w:pPr>
        <w:spacing w:line="1600" w:lineRule="exact"/>
        <w:jc w:val="center"/>
        <w:outlineLvl w:val="0"/>
        <w:rPr>
          <w:rFonts w:hint="eastAsia" w:ascii="黑体" w:hAnsi="黑体" w:eastAsia="黑体" w:cs="黑体"/>
          <w:b/>
          <w:color w:val="auto"/>
          <w:sz w:val="72"/>
          <w:szCs w:val="72"/>
          <w:highlight w:val="none"/>
        </w:rPr>
      </w:pPr>
      <w:r>
        <w:rPr>
          <w:rFonts w:hint="eastAsia" w:ascii="黑体" w:hAnsi="黑体" w:eastAsia="黑体" w:cs="黑体"/>
          <w:b/>
          <w:color w:val="auto"/>
          <w:sz w:val="72"/>
          <w:szCs w:val="72"/>
          <w:highlight w:val="none"/>
        </w:rPr>
        <w:t>招 标 文 件</w:t>
      </w:r>
    </w:p>
    <w:p>
      <w:pPr>
        <w:pStyle w:val="23"/>
        <w:spacing w:line="500" w:lineRule="exact"/>
        <w:ind w:left="0"/>
        <w:jc w:val="center"/>
        <w:rPr>
          <w:rFonts w:hint="eastAsia" w:ascii="仿宋" w:hAnsi="仿宋" w:eastAsia="仿宋"/>
          <w:b/>
          <w:color w:val="auto"/>
          <w:sz w:val="32"/>
          <w:highlight w:val="none"/>
        </w:rPr>
      </w:pPr>
    </w:p>
    <w:p>
      <w:pPr>
        <w:pStyle w:val="23"/>
        <w:spacing w:line="500" w:lineRule="exact"/>
        <w:ind w:left="0"/>
        <w:jc w:val="center"/>
        <w:rPr>
          <w:rFonts w:hint="eastAsia" w:ascii="仿宋" w:hAnsi="仿宋" w:eastAsia="仿宋"/>
          <w:b/>
          <w:color w:val="auto"/>
          <w:sz w:val="32"/>
          <w:highlight w:val="none"/>
        </w:rPr>
      </w:pPr>
    </w:p>
    <w:p>
      <w:pPr>
        <w:pStyle w:val="23"/>
        <w:spacing w:line="500" w:lineRule="exact"/>
        <w:ind w:left="0"/>
        <w:jc w:val="center"/>
        <w:rPr>
          <w:rFonts w:hint="eastAsia" w:ascii="仿宋" w:hAnsi="仿宋" w:eastAsia="仿宋"/>
          <w:b/>
          <w:color w:val="auto"/>
          <w:sz w:val="32"/>
          <w:highlight w:val="none"/>
        </w:rPr>
      </w:pPr>
    </w:p>
    <w:p>
      <w:pPr>
        <w:pStyle w:val="23"/>
        <w:spacing w:line="500" w:lineRule="exact"/>
        <w:ind w:left="0"/>
        <w:jc w:val="center"/>
        <w:rPr>
          <w:rFonts w:hint="eastAsia" w:ascii="仿宋" w:hAnsi="仿宋" w:eastAsia="仿宋"/>
          <w:b/>
          <w:color w:val="auto"/>
          <w:sz w:val="32"/>
          <w:highlight w:val="none"/>
        </w:rPr>
      </w:pPr>
    </w:p>
    <w:p>
      <w:pPr>
        <w:pStyle w:val="23"/>
        <w:spacing w:line="500" w:lineRule="exact"/>
        <w:ind w:left="0"/>
        <w:jc w:val="both"/>
        <w:outlineLvl w:val="0"/>
        <w:rPr>
          <w:rFonts w:hint="eastAsia" w:ascii="仿宋" w:hAnsi="仿宋" w:eastAsia="仿宋"/>
          <w:b/>
          <w:color w:val="auto"/>
          <w:sz w:val="32"/>
          <w:highlight w:val="none"/>
        </w:rPr>
      </w:pPr>
    </w:p>
    <w:p>
      <w:pPr>
        <w:pStyle w:val="23"/>
        <w:spacing w:line="500" w:lineRule="exact"/>
        <w:ind w:left="0"/>
        <w:jc w:val="center"/>
        <w:rPr>
          <w:rFonts w:hint="eastAsia" w:ascii="仿宋" w:hAnsi="仿宋" w:eastAsia="仿宋"/>
          <w:b/>
          <w:color w:val="auto"/>
          <w:sz w:val="32"/>
          <w:highlight w:val="none"/>
        </w:rPr>
      </w:pPr>
    </w:p>
    <w:p>
      <w:pPr>
        <w:pStyle w:val="23"/>
        <w:spacing w:line="500" w:lineRule="exact"/>
        <w:ind w:left="0"/>
        <w:jc w:val="center"/>
        <w:rPr>
          <w:rFonts w:hint="eastAsia" w:ascii="仿宋" w:hAnsi="仿宋" w:eastAsia="仿宋"/>
          <w:b/>
          <w:color w:val="auto"/>
          <w:sz w:val="32"/>
          <w:highlight w:val="none"/>
        </w:rPr>
      </w:pPr>
    </w:p>
    <w:p>
      <w:pPr>
        <w:spacing w:line="500" w:lineRule="exact"/>
        <w:ind w:right="-1190" w:rightChars="-425" w:firstLine="1446" w:firstLineChars="400"/>
        <w:outlineLvl w:val="0"/>
        <w:rPr>
          <w:rFonts w:hint="eastAsia" w:ascii="黑体" w:hAnsi="黑体" w:eastAsia="黑体" w:cs="黑体"/>
          <w:b/>
          <w:color w:val="auto"/>
          <w:sz w:val="36"/>
          <w:highlight w:val="none"/>
        </w:rPr>
      </w:pPr>
    </w:p>
    <w:p>
      <w:pPr>
        <w:spacing w:line="480" w:lineRule="auto"/>
        <w:ind w:right="-1190" w:rightChars="-425" w:firstLine="1285" w:firstLineChars="400"/>
        <w:outlineLvl w:val="0"/>
        <w:rPr>
          <w:rFonts w:hint="default"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rPr>
        <w:t>采</w:t>
      </w:r>
      <w:r>
        <w:rPr>
          <w:rFonts w:hint="eastAsia" w:ascii="黑体" w:hAnsi="黑体" w:eastAsia="黑体" w:cs="黑体"/>
          <w:b/>
          <w:color w:val="auto"/>
          <w:sz w:val="32"/>
          <w:szCs w:val="32"/>
          <w:highlight w:val="none"/>
          <w:lang w:val="en-US" w:eastAsia="zh-CN"/>
        </w:rPr>
        <w:t xml:space="preserve"> </w:t>
      </w:r>
      <w:r>
        <w:rPr>
          <w:rFonts w:hint="eastAsia" w:ascii="黑体" w:hAnsi="黑体" w:eastAsia="黑体" w:cs="黑体"/>
          <w:b/>
          <w:color w:val="auto"/>
          <w:sz w:val="32"/>
          <w:szCs w:val="32"/>
          <w:highlight w:val="none"/>
        </w:rPr>
        <w:t>购</w:t>
      </w:r>
      <w:r>
        <w:rPr>
          <w:rFonts w:hint="eastAsia" w:ascii="黑体" w:hAnsi="黑体" w:eastAsia="黑体" w:cs="黑体"/>
          <w:b/>
          <w:color w:val="auto"/>
          <w:sz w:val="32"/>
          <w:szCs w:val="32"/>
          <w:highlight w:val="none"/>
          <w:lang w:val="en-US" w:eastAsia="zh-CN"/>
        </w:rPr>
        <w:t xml:space="preserve"> </w:t>
      </w:r>
      <w:r>
        <w:rPr>
          <w:rFonts w:hint="eastAsia" w:ascii="黑体" w:hAnsi="黑体" w:eastAsia="黑体" w:cs="黑体"/>
          <w:b/>
          <w:color w:val="auto"/>
          <w:sz w:val="32"/>
          <w:szCs w:val="32"/>
          <w:highlight w:val="none"/>
          <w:lang w:eastAsia="zh-CN"/>
        </w:rPr>
        <w:t>人</w:t>
      </w:r>
      <w:r>
        <w:rPr>
          <w:rFonts w:hint="eastAsia" w:ascii="黑体" w:hAnsi="黑体" w:eastAsia="黑体" w:cs="黑体"/>
          <w:b/>
          <w:color w:val="auto"/>
          <w:sz w:val="32"/>
          <w:szCs w:val="32"/>
          <w:highlight w:val="none"/>
        </w:rPr>
        <w:t>：</w:t>
      </w:r>
      <w:r>
        <w:rPr>
          <w:rFonts w:hint="eastAsia" w:ascii="黑体" w:hAnsi="黑体" w:eastAsia="黑体" w:cs="黑体"/>
          <w:b/>
          <w:color w:val="auto"/>
          <w:sz w:val="32"/>
          <w:szCs w:val="32"/>
          <w:highlight w:val="none"/>
          <w:u w:val="single"/>
        </w:rPr>
        <w:t>重庆市南鸿建筑工程有限责任公司</w:t>
      </w:r>
      <w:r>
        <w:rPr>
          <w:rFonts w:hint="eastAsia" w:ascii="黑体" w:hAnsi="黑体" w:eastAsia="黑体" w:cs="黑体"/>
          <w:b/>
          <w:color w:val="auto"/>
          <w:sz w:val="32"/>
          <w:szCs w:val="32"/>
          <w:highlight w:val="none"/>
        </w:rPr>
        <w:t xml:space="preserve">  </w:t>
      </w:r>
    </w:p>
    <w:p>
      <w:pPr>
        <w:spacing w:line="480" w:lineRule="auto"/>
        <w:ind w:right="-1190" w:rightChars="-425" w:firstLine="1285" w:firstLineChars="400"/>
        <w:outlineLvl w:val="0"/>
        <w:rPr>
          <w:rFonts w:hint="default" w:ascii="黑体" w:hAnsi="黑体" w:eastAsia="黑体" w:cs="黑体"/>
          <w:b/>
          <w:color w:val="auto"/>
          <w:sz w:val="32"/>
          <w:szCs w:val="32"/>
          <w:highlight w:val="none"/>
          <w:lang w:val="en-US" w:eastAsia="zh-CN"/>
        </w:rPr>
      </w:pPr>
      <w:r>
        <w:rPr>
          <w:rFonts w:hint="eastAsia" w:ascii="黑体" w:hAnsi="黑体" w:eastAsia="黑体" w:cs="黑体"/>
          <w:b/>
          <w:color w:val="auto"/>
          <w:sz w:val="32"/>
          <w:szCs w:val="32"/>
          <w:highlight w:val="none"/>
        </w:rPr>
        <w:t>代理机构：</w:t>
      </w:r>
      <w:r>
        <w:rPr>
          <w:rFonts w:hint="eastAsia" w:ascii="黑体" w:hAnsi="黑体" w:eastAsia="黑体" w:cs="黑体"/>
          <w:b/>
          <w:color w:val="auto"/>
          <w:sz w:val="32"/>
          <w:szCs w:val="32"/>
          <w:highlight w:val="none"/>
          <w:u w:val="single"/>
          <w:lang w:eastAsia="zh-CN"/>
        </w:rPr>
        <w:t>重庆兴辰盛项目管理有限公司</w:t>
      </w:r>
      <w:r>
        <w:rPr>
          <w:rFonts w:hint="eastAsia" w:ascii="黑体" w:hAnsi="黑体" w:eastAsia="黑体" w:cs="黑体"/>
          <w:b/>
          <w:color w:val="auto"/>
          <w:sz w:val="32"/>
          <w:szCs w:val="32"/>
          <w:highlight w:val="none"/>
          <w:u w:val="single"/>
          <w:lang w:val="en-US" w:eastAsia="zh-CN"/>
        </w:rPr>
        <w:t xml:space="preserve"> </w:t>
      </w:r>
    </w:p>
    <w:p>
      <w:pPr>
        <w:snapToGrid w:val="0"/>
        <w:spacing w:line="480" w:lineRule="auto"/>
        <w:jc w:val="center"/>
        <w:rPr>
          <w:rFonts w:hint="eastAsia" w:ascii="仿宋" w:hAnsi="仿宋" w:eastAsia="仿宋"/>
          <w:color w:val="auto"/>
          <w:sz w:val="32"/>
          <w:szCs w:val="32"/>
          <w:highlight w:val="none"/>
        </w:rPr>
      </w:pPr>
      <w:r>
        <w:rPr>
          <w:rFonts w:hint="eastAsia" w:ascii="黑体" w:hAnsi="黑体" w:eastAsia="黑体" w:cs="黑体"/>
          <w:b/>
          <w:color w:val="auto"/>
          <w:sz w:val="32"/>
          <w:szCs w:val="32"/>
          <w:highlight w:val="none"/>
        </w:rPr>
        <w:t>二○二</w:t>
      </w:r>
      <w:r>
        <w:rPr>
          <w:rFonts w:hint="eastAsia" w:ascii="黑体" w:hAnsi="黑体" w:eastAsia="黑体" w:cs="黑体"/>
          <w:b/>
          <w:color w:val="auto"/>
          <w:sz w:val="32"/>
          <w:szCs w:val="32"/>
          <w:highlight w:val="none"/>
          <w:lang w:val="en-US" w:eastAsia="zh-CN"/>
        </w:rPr>
        <w:t>三</w:t>
      </w:r>
      <w:r>
        <w:rPr>
          <w:rFonts w:hint="eastAsia" w:ascii="黑体" w:hAnsi="黑体" w:eastAsia="黑体" w:cs="黑体"/>
          <w:b/>
          <w:color w:val="auto"/>
          <w:sz w:val="32"/>
          <w:szCs w:val="32"/>
          <w:highlight w:val="none"/>
        </w:rPr>
        <w:t>年</w:t>
      </w:r>
      <w:r>
        <w:rPr>
          <w:rFonts w:hint="eastAsia" w:ascii="黑体" w:hAnsi="黑体" w:eastAsia="黑体" w:cs="黑体"/>
          <w:b/>
          <w:color w:val="auto"/>
          <w:sz w:val="32"/>
          <w:szCs w:val="32"/>
          <w:highlight w:val="none"/>
          <w:lang w:val="en-US" w:eastAsia="zh-CN"/>
        </w:rPr>
        <w:t>六</w:t>
      </w:r>
      <w:r>
        <w:rPr>
          <w:rFonts w:hint="eastAsia" w:ascii="黑体" w:hAnsi="黑体" w:eastAsia="黑体" w:cs="黑体"/>
          <w:b/>
          <w:color w:val="auto"/>
          <w:sz w:val="32"/>
          <w:szCs w:val="32"/>
          <w:highlight w:val="none"/>
        </w:rPr>
        <w:t>月</w:t>
      </w:r>
    </w:p>
    <w:p>
      <w:pPr>
        <w:snapToGrid w:val="0"/>
        <w:spacing w:line="500" w:lineRule="exact"/>
        <w:rPr>
          <w:rFonts w:hint="eastAsia" w:ascii="仿宋" w:hAnsi="仿宋" w:eastAsia="仿宋"/>
          <w:color w:val="auto"/>
          <w:sz w:val="44"/>
          <w:highlight w:val="none"/>
        </w:rPr>
        <w:sectPr>
          <w:headerReference r:id="rId5" w:type="first"/>
          <w:headerReference r:id="rId3" w:type="default"/>
          <w:headerReference r:id="rId4" w:type="even"/>
          <w:footerReference r:id="rId6" w:type="even"/>
          <w:pgSz w:w="11907" w:h="16840"/>
          <w:pgMar w:top="1134" w:right="1134" w:bottom="1134" w:left="1417" w:header="964" w:footer="992" w:gutter="0"/>
          <w:pgNumType w:start="1"/>
          <w:cols w:space="720" w:num="1"/>
          <w:titlePg/>
          <w:docGrid w:linePitch="312" w:charSpace="0"/>
        </w:sectPr>
      </w:pPr>
    </w:p>
    <w:p>
      <w:pPr>
        <w:snapToGrid w:val="0"/>
        <w:spacing w:line="500" w:lineRule="exact"/>
        <w:jc w:val="center"/>
        <w:rPr>
          <w:rFonts w:hint="eastAsia" w:ascii="仿宋" w:hAnsi="仿宋" w:eastAsia="仿宋"/>
          <w:b/>
          <w:bCs/>
          <w:color w:val="auto"/>
          <w:sz w:val="44"/>
          <w:highlight w:val="none"/>
        </w:rPr>
      </w:pPr>
    </w:p>
    <w:p>
      <w:pPr>
        <w:snapToGrid w:val="0"/>
        <w:spacing w:line="500" w:lineRule="exact"/>
        <w:jc w:val="center"/>
        <w:rPr>
          <w:rFonts w:hint="eastAsia" w:ascii="仿宋" w:hAnsi="仿宋" w:eastAsia="仿宋"/>
          <w:b/>
          <w:bCs/>
          <w:color w:val="auto"/>
          <w:sz w:val="44"/>
          <w:highlight w:val="none"/>
        </w:rPr>
      </w:pPr>
      <w:r>
        <w:rPr>
          <w:rFonts w:hint="eastAsia" w:ascii="仿宋" w:hAnsi="仿宋" w:eastAsia="仿宋"/>
          <w:b/>
          <w:bCs/>
          <w:color w:val="auto"/>
          <w:sz w:val="44"/>
          <w:highlight w:val="none"/>
        </w:rPr>
        <w:t>目  录</w:t>
      </w:r>
    </w:p>
    <w:p>
      <w:pPr>
        <w:pStyle w:val="2"/>
        <w:rPr>
          <w:rFonts w:hint="eastAsia"/>
          <w:color w:val="auto"/>
          <w:highlight w:val="none"/>
        </w:rPr>
      </w:pPr>
    </w:p>
    <w:p>
      <w:pPr>
        <w:pStyle w:val="37"/>
        <w:tabs>
          <w:tab w:val="right" w:leader="dot" w:pos="9412"/>
          <w:tab w:val="clear" w:pos="1260"/>
          <w:tab w:val="clear" w:pos="1685"/>
          <w:tab w:val="clear" w:pos="8400"/>
        </w:tabs>
        <w:spacing w:line="360" w:lineRule="auto"/>
        <w:rPr>
          <w:color w:val="auto"/>
          <w:highlight w:val="none"/>
        </w:rPr>
      </w:pPr>
      <w:r>
        <w:rPr>
          <w:rFonts w:hint="eastAsia" w:ascii="仿宋" w:hAnsi="仿宋" w:eastAsia="仿宋"/>
          <w:color w:val="auto"/>
          <w:sz w:val="21"/>
          <w:szCs w:val="21"/>
          <w:highlight w:val="none"/>
          <w:lang w:val="en-US" w:eastAsia="zh-CN"/>
        </w:rPr>
        <w:t xml:space="preserve"> </w:t>
      </w:r>
      <w:r>
        <w:rPr>
          <w:rFonts w:hint="eastAsia" w:ascii="仿宋" w:hAnsi="仿宋" w:eastAsia="仿宋"/>
          <w:color w:val="auto"/>
          <w:sz w:val="21"/>
          <w:szCs w:val="21"/>
          <w:highlight w:val="none"/>
        </w:rPr>
        <w:fldChar w:fldCharType="begin"/>
      </w:r>
      <w:r>
        <w:rPr>
          <w:rFonts w:hint="eastAsia" w:ascii="仿宋" w:hAnsi="仿宋" w:eastAsia="仿宋"/>
          <w:color w:val="auto"/>
          <w:sz w:val="21"/>
          <w:szCs w:val="21"/>
          <w:highlight w:val="none"/>
        </w:rPr>
        <w:instrText xml:space="preserve"> TOC \o "1-2" \h \z </w:instrText>
      </w:r>
      <w:r>
        <w:rPr>
          <w:rFonts w:hint="eastAsia" w:ascii="仿宋" w:hAnsi="仿宋" w:eastAsia="仿宋"/>
          <w:color w:val="auto"/>
          <w:sz w:val="21"/>
          <w:szCs w:val="21"/>
          <w:highlight w:val="none"/>
        </w:rPr>
        <w:fldChar w:fldCharType="separate"/>
      </w: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_Toc10158 </w:instrText>
      </w:r>
      <w:r>
        <w:rPr>
          <w:rFonts w:hint="eastAsia" w:ascii="仿宋" w:hAnsi="仿宋" w:eastAsia="仿宋"/>
          <w:b/>
          <w:bCs/>
          <w:color w:val="auto"/>
          <w:sz w:val="32"/>
          <w:szCs w:val="16"/>
          <w:highlight w:val="none"/>
        </w:rPr>
        <w:fldChar w:fldCharType="separate"/>
      </w:r>
      <w:r>
        <w:rPr>
          <w:rFonts w:ascii="仿宋" w:hAnsi="仿宋" w:eastAsia="仿宋"/>
          <w:b/>
          <w:bCs/>
          <w:color w:val="auto"/>
          <w:sz w:val="32"/>
          <w:szCs w:val="15"/>
          <w:highlight w:val="none"/>
        </w:rPr>
        <w:t>第一篇</w:t>
      </w:r>
      <w:r>
        <w:rPr>
          <w:rFonts w:hint="eastAsia" w:ascii="仿宋" w:hAnsi="仿宋" w:eastAsia="仿宋"/>
          <w:b/>
          <w:bCs/>
          <w:color w:val="auto"/>
          <w:sz w:val="32"/>
          <w:szCs w:val="15"/>
          <w:highlight w:val="none"/>
        </w:rPr>
        <w:t xml:space="preserve"> 投标邀请书</w:t>
      </w:r>
      <w:r>
        <w:rPr>
          <w:b/>
          <w:bCs/>
          <w:color w:val="auto"/>
          <w:sz w:val="32"/>
          <w:szCs w:val="15"/>
          <w:highlight w:val="none"/>
        </w:rPr>
        <w:tab/>
      </w:r>
      <w:r>
        <w:rPr>
          <w:b/>
          <w:bCs/>
          <w:color w:val="auto"/>
          <w:sz w:val="32"/>
          <w:szCs w:val="15"/>
          <w:highlight w:val="none"/>
        </w:rPr>
        <w:fldChar w:fldCharType="begin"/>
      </w:r>
      <w:r>
        <w:rPr>
          <w:b/>
          <w:bCs/>
          <w:color w:val="auto"/>
          <w:sz w:val="32"/>
          <w:szCs w:val="15"/>
          <w:highlight w:val="none"/>
        </w:rPr>
        <w:instrText xml:space="preserve"> PAGEREF _Toc10158 \h </w:instrText>
      </w:r>
      <w:r>
        <w:rPr>
          <w:b/>
          <w:bCs/>
          <w:color w:val="auto"/>
          <w:sz w:val="32"/>
          <w:szCs w:val="15"/>
          <w:highlight w:val="none"/>
        </w:rPr>
        <w:fldChar w:fldCharType="separate"/>
      </w:r>
      <w:r>
        <w:rPr>
          <w:b/>
          <w:bCs/>
          <w:color w:val="auto"/>
          <w:sz w:val="32"/>
          <w:szCs w:val="15"/>
          <w:highlight w:val="none"/>
        </w:rPr>
        <w:t>1</w:t>
      </w:r>
      <w:r>
        <w:rPr>
          <w:b/>
          <w:bCs/>
          <w:color w:val="auto"/>
          <w:sz w:val="32"/>
          <w:szCs w:val="15"/>
          <w:highlight w:val="none"/>
        </w:rPr>
        <w:fldChar w:fldCharType="end"/>
      </w:r>
      <w:r>
        <w:rPr>
          <w:rFonts w:hint="eastAsia" w:ascii="仿宋" w:hAnsi="仿宋" w:eastAsia="仿宋"/>
          <w:b/>
          <w:bCs/>
          <w:color w:val="auto"/>
          <w:sz w:val="32"/>
          <w:szCs w:val="16"/>
          <w:highlight w:val="none"/>
        </w:rPr>
        <w:fldChar w:fldCharType="end"/>
      </w:r>
    </w:p>
    <w:p>
      <w:pPr>
        <w:pStyle w:val="37"/>
        <w:tabs>
          <w:tab w:val="right" w:leader="dot" w:pos="9412"/>
          <w:tab w:val="clear" w:pos="1260"/>
          <w:tab w:val="clear" w:pos="1685"/>
          <w:tab w:val="clear" w:pos="8400"/>
        </w:tabs>
        <w:spacing w:line="360" w:lineRule="auto"/>
        <w:rPr>
          <w:color w:val="auto"/>
          <w:highlight w:val="none"/>
        </w:rPr>
      </w:pP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_Toc19653 </w:instrText>
      </w:r>
      <w:r>
        <w:rPr>
          <w:rFonts w:hint="eastAsia" w:ascii="仿宋" w:hAnsi="仿宋" w:eastAsia="仿宋"/>
          <w:b/>
          <w:bCs/>
          <w:color w:val="auto"/>
          <w:sz w:val="32"/>
          <w:szCs w:val="16"/>
          <w:highlight w:val="none"/>
        </w:rPr>
        <w:fldChar w:fldCharType="separate"/>
      </w:r>
      <w:r>
        <w:rPr>
          <w:rFonts w:hint="eastAsia" w:ascii="仿宋" w:hAnsi="仿宋" w:eastAsia="仿宋"/>
          <w:b/>
          <w:bCs/>
          <w:color w:val="auto"/>
          <w:sz w:val="32"/>
          <w:szCs w:val="15"/>
          <w:highlight w:val="none"/>
        </w:rPr>
        <w:t>第二篇 项目技术规格、数量及质量要求</w:t>
      </w:r>
      <w:r>
        <w:rPr>
          <w:b/>
          <w:bCs/>
          <w:color w:val="auto"/>
          <w:sz w:val="32"/>
          <w:szCs w:val="15"/>
          <w:highlight w:val="none"/>
        </w:rPr>
        <w:tab/>
      </w:r>
      <w:r>
        <w:rPr>
          <w:b/>
          <w:bCs/>
          <w:color w:val="auto"/>
          <w:sz w:val="32"/>
          <w:szCs w:val="15"/>
          <w:highlight w:val="none"/>
        </w:rPr>
        <w:fldChar w:fldCharType="begin"/>
      </w:r>
      <w:r>
        <w:rPr>
          <w:b/>
          <w:bCs/>
          <w:color w:val="auto"/>
          <w:sz w:val="32"/>
          <w:szCs w:val="15"/>
          <w:highlight w:val="none"/>
        </w:rPr>
        <w:instrText xml:space="preserve"> PAGEREF _Toc19653 \h </w:instrText>
      </w:r>
      <w:r>
        <w:rPr>
          <w:b/>
          <w:bCs/>
          <w:color w:val="auto"/>
          <w:sz w:val="32"/>
          <w:szCs w:val="15"/>
          <w:highlight w:val="none"/>
        </w:rPr>
        <w:fldChar w:fldCharType="separate"/>
      </w:r>
      <w:r>
        <w:rPr>
          <w:b/>
          <w:bCs/>
          <w:color w:val="auto"/>
          <w:sz w:val="32"/>
          <w:szCs w:val="15"/>
          <w:highlight w:val="none"/>
        </w:rPr>
        <w:t>3</w:t>
      </w:r>
      <w:r>
        <w:rPr>
          <w:b/>
          <w:bCs/>
          <w:color w:val="auto"/>
          <w:sz w:val="32"/>
          <w:szCs w:val="15"/>
          <w:highlight w:val="none"/>
        </w:rPr>
        <w:fldChar w:fldCharType="end"/>
      </w:r>
      <w:r>
        <w:rPr>
          <w:rFonts w:hint="eastAsia" w:ascii="仿宋" w:hAnsi="仿宋" w:eastAsia="仿宋"/>
          <w:b/>
          <w:bCs/>
          <w:color w:val="auto"/>
          <w:sz w:val="32"/>
          <w:szCs w:val="16"/>
          <w:highlight w:val="none"/>
        </w:rPr>
        <w:fldChar w:fldCharType="end"/>
      </w:r>
    </w:p>
    <w:p>
      <w:pPr>
        <w:pStyle w:val="37"/>
        <w:tabs>
          <w:tab w:val="right" w:leader="dot" w:pos="9412"/>
          <w:tab w:val="clear" w:pos="1260"/>
          <w:tab w:val="clear" w:pos="1685"/>
          <w:tab w:val="clear" w:pos="8400"/>
        </w:tabs>
        <w:spacing w:line="360" w:lineRule="auto"/>
        <w:rPr>
          <w:color w:val="auto"/>
          <w:highlight w:val="none"/>
        </w:rPr>
      </w:pP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_Toc16295 </w:instrText>
      </w:r>
      <w:r>
        <w:rPr>
          <w:rFonts w:hint="eastAsia" w:ascii="仿宋" w:hAnsi="仿宋" w:eastAsia="仿宋"/>
          <w:b/>
          <w:bCs/>
          <w:color w:val="auto"/>
          <w:sz w:val="32"/>
          <w:szCs w:val="16"/>
          <w:highlight w:val="none"/>
        </w:rPr>
        <w:fldChar w:fldCharType="separate"/>
      </w:r>
      <w:r>
        <w:rPr>
          <w:rFonts w:hint="eastAsia" w:ascii="仿宋" w:hAnsi="仿宋" w:eastAsia="仿宋"/>
          <w:b/>
          <w:bCs/>
          <w:color w:val="auto"/>
          <w:sz w:val="32"/>
          <w:szCs w:val="15"/>
          <w:highlight w:val="none"/>
        </w:rPr>
        <w:t>第三篇  项目商务要求</w:t>
      </w:r>
      <w:r>
        <w:rPr>
          <w:b/>
          <w:bCs/>
          <w:color w:val="auto"/>
          <w:sz w:val="32"/>
          <w:szCs w:val="15"/>
          <w:highlight w:val="none"/>
        </w:rPr>
        <w:tab/>
      </w:r>
      <w:r>
        <w:rPr>
          <w:rFonts w:hint="eastAsia"/>
          <w:b/>
          <w:bCs/>
          <w:color w:val="auto"/>
          <w:sz w:val="32"/>
          <w:szCs w:val="15"/>
          <w:highlight w:val="none"/>
          <w:lang w:val="en-US" w:eastAsia="zh-CN"/>
        </w:rPr>
        <w:t>8</w:t>
      </w:r>
      <w:r>
        <w:rPr>
          <w:rFonts w:hint="eastAsia" w:ascii="仿宋" w:hAnsi="仿宋" w:eastAsia="仿宋"/>
          <w:b/>
          <w:bCs/>
          <w:color w:val="auto"/>
          <w:sz w:val="32"/>
          <w:szCs w:val="16"/>
          <w:highlight w:val="none"/>
        </w:rPr>
        <w:fldChar w:fldCharType="end"/>
      </w:r>
    </w:p>
    <w:p>
      <w:pPr>
        <w:pStyle w:val="37"/>
        <w:tabs>
          <w:tab w:val="right" w:leader="dot" w:pos="9412"/>
          <w:tab w:val="clear" w:pos="1260"/>
          <w:tab w:val="clear" w:pos="1685"/>
          <w:tab w:val="clear" w:pos="8400"/>
        </w:tabs>
        <w:spacing w:line="360" w:lineRule="auto"/>
        <w:rPr>
          <w:rFonts w:hint="eastAsia" w:eastAsia="仿宋"/>
          <w:color w:val="auto"/>
          <w:highlight w:val="none"/>
          <w:lang w:val="en-US" w:eastAsia="zh-CN"/>
        </w:rPr>
      </w:pP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_Toc29753 </w:instrText>
      </w:r>
      <w:r>
        <w:rPr>
          <w:rFonts w:hint="eastAsia" w:ascii="仿宋" w:hAnsi="仿宋" w:eastAsia="仿宋"/>
          <w:b/>
          <w:bCs/>
          <w:color w:val="auto"/>
          <w:sz w:val="32"/>
          <w:szCs w:val="16"/>
          <w:highlight w:val="none"/>
        </w:rPr>
        <w:fldChar w:fldCharType="separate"/>
      </w:r>
      <w:r>
        <w:rPr>
          <w:rFonts w:hint="eastAsia" w:ascii="仿宋" w:hAnsi="仿宋" w:eastAsia="仿宋"/>
          <w:b/>
          <w:bCs/>
          <w:color w:val="auto"/>
          <w:sz w:val="32"/>
          <w:szCs w:val="15"/>
          <w:highlight w:val="none"/>
        </w:rPr>
        <w:t>第四篇  资格审查及评标办法</w:t>
      </w:r>
      <w:r>
        <w:rPr>
          <w:b/>
          <w:bCs/>
          <w:color w:val="auto"/>
          <w:sz w:val="32"/>
          <w:szCs w:val="15"/>
          <w:highlight w:val="none"/>
        </w:rPr>
        <w:tab/>
      </w:r>
      <w:r>
        <w:rPr>
          <w:rFonts w:hint="eastAsia"/>
          <w:b/>
          <w:bCs/>
          <w:color w:val="auto"/>
          <w:sz w:val="32"/>
          <w:szCs w:val="15"/>
          <w:highlight w:val="none"/>
          <w:lang w:val="en-US" w:eastAsia="zh-CN"/>
        </w:rPr>
        <w:t>1</w:t>
      </w:r>
      <w:r>
        <w:rPr>
          <w:rFonts w:hint="eastAsia" w:ascii="仿宋" w:hAnsi="仿宋" w:eastAsia="仿宋"/>
          <w:b/>
          <w:bCs/>
          <w:color w:val="auto"/>
          <w:sz w:val="32"/>
          <w:szCs w:val="16"/>
          <w:highlight w:val="none"/>
        </w:rPr>
        <w:fldChar w:fldCharType="end"/>
      </w:r>
      <w:r>
        <w:rPr>
          <w:rFonts w:hint="eastAsia" w:ascii="仿宋" w:hAnsi="仿宋" w:eastAsia="仿宋"/>
          <w:b/>
          <w:bCs/>
          <w:color w:val="auto"/>
          <w:sz w:val="32"/>
          <w:szCs w:val="16"/>
          <w:highlight w:val="none"/>
          <w:lang w:val="en-US" w:eastAsia="zh-CN"/>
        </w:rPr>
        <w:t>0</w:t>
      </w:r>
    </w:p>
    <w:p>
      <w:pPr>
        <w:pStyle w:val="37"/>
        <w:tabs>
          <w:tab w:val="right" w:leader="dot" w:pos="9412"/>
          <w:tab w:val="clear" w:pos="1260"/>
          <w:tab w:val="clear" w:pos="1685"/>
          <w:tab w:val="clear" w:pos="8400"/>
        </w:tabs>
        <w:spacing w:line="360" w:lineRule="auto"/>
        <w:rPr>
          <w:b/>
          <w:bCs/>
          <w:color w:val="auto"/>
          <w:sz w:val="32"/>
          <w:szCs w:val="15"/>
          <w:highlight w:val="none"/>
        </w:rPr>
      </w:pP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_Toc4364 </w:instrText>
      </w:r>
      <w:r>
        <w:rPr>
          <w:rFonts w:hint="eastAsia" w:ascii="仿宋" w:hAnsi="仿宋" w:eastAsia="仿宋"/>
          <w:b/>
          <w:bCs/>
          <w:color w:val="auto"/>
          <w:sz w:val="32"/>
          <w:szCs w:val="16"/>
          <w:highlight w:val="none"/>
        </w:rPr>
        <w:fldChar w:fldCharType="separate"/>
      </w:r>
      <w:r>
        <w:rPr>
          <w:rFonts w:hint="eastAsia" w:ascii="仿宋" w:hAnsi="仿宋" w:eastAsia="仿宋"/>
          <w:b/>
          <w:bCs/>
          <w:color w:val="auto"/>
          <w:sz w:val="32"/>
          <w:szCs w:val="15"/>
          <w:highlight w:val="none"/>
        </w:rPr>
        <w:t>第五篇  投标人须知</w:t>
      </w:r>
      <w:r>
        <w:rPr>
          <w:b/>
          <w:bCs/>
          <w:color w:val="auto"/>
          <w:sz w:val="32"/>
          <w:szCs w:val="15"/>
          <w:highlight w:val="none"/>
        </w:rPr>
        <w:tab/>
      </w:r>
      <w:r>
        <w:rPr>
          <w:b/>
          <w:bCs/>
          <w:color w:val="auto"/>
          <w:sz w:val="32"/>
          <w:szCs w:val="15"/>
          <w:highlight w:val="none"/>
        </w:rPr>
        <w:fldChar w:fldCharType="begin"/>
      </w:r>
      <w:r>
        <w:rPr>
          <w:b/>
          <w:bCs/>
          <w:color w:val="auto"/>
          <w:sz w:val="32"/>
          <w:szCs w:val="15"/>
          <w:highlight w:val="none"/>
        </w:rPr>
        <w:instrText xml:space="preserve"> PAGEREF _Toc4364 \h </w:instrText>
      </w:r>
      <w:r>
        <w:rPr>
          <w:b/>
          <w:bCs/>
          <w:color w:val="auto"/>
          <w:sz w:val="32"/>
          <w:szCs w:val="15"/>
          <w:highlight w:val="none"/>
        </w:rPr>
        <w:fldChar w:fldCharType="separate"/>
      </w:r>
      <w:r>
        <w:rPr>
          <w:b/>
          <w:bCs/>
          <w:color w:val="auto"/>
          <w:sz w:val="32"/>
          <w:szCs w:val="15"/>
          <w:highlight w:val="none"/>
        </w:rPr>
        <w:t>14</w:t>
      </w:r>
      <w:r>
        <w:rPr>
          <w:b/>
          <w:bCs/>
          <w:color w:val="auto"/>
          <w:sz w:val="32"/>
          <w:szCs w:val="15"/>
          <w:highlight w:val="none"/>
        </w:rPr>
        <w:fldChar w:fldCharType="end"/>
      </w:r>
      <w:r>
        <w:rPr>
          <w:rFonts w:hint="eastAsia" w:ascii="仿宋" w:hAnsi="仿宋" w:eastAsia="仿宋"/>
          <w:b/>
          <w:bCs/>
          <w:color w:val="auto"/>
          <w:sz w:val="32"/>
          <w:szCs w:val="16"/>
          <w:highlight w:val="none"/>
        </w:rPr>
        <w:fldChar w:fldCharType="end"/>
      </w:r>
    </w:p>
    <w:p>
      <w:pPr>
        <w:pStyle w:val="37"/>
        <w:tabs>
          <w:tab w:val="right" w:leader="dot" w:pos="9412"/>
          <w:tab w:val="clear" w:pos="1260"/>
          <w:tab w:val="clear" w:pos="1685"/>
          <w:tab w:val="clear" w:pos="8400"/>
        </w:tabs>
        <w:spacing w:line="360" w:lineRule="auto"/>
        <w:rPr>
          <w:color w:val="auto"/>
          <w:highlight w:val="none"/>
        </w:rPr>
      </w:pP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_Toc27138 </w:instrText>
      </w:r>
      <w:r>
        <w:rPr>
          <w:rFonts w:hint="eastAsia" w:ascii="仿宋" w:hAnsi="仿宋" w:eastAsia="仿宋"/>
          <w:b/>
          <w:bCs/>
          <w:color w:val="auto"/>
          <w:sz w:val="32"/>
          <w:szCs w:val="16"/>
          <w:highlight w:val="none"/>
        </w:rPr>
        <w:fldChar w:fldCharType="separate"/>
      </w:r>
      <w:r>
        <w:rPr>
          <w:rFonts w:hint="eastAsia" w:ascii="仿宋" w:hAnsi="仿宋" w:eastAsia="仿宋"/>
          <w:b/>
          <w:bCs/>
          <w:color w:val="auto"/>
          <w:sz w:val="32"/>
          <w:szCs w:val="15"/>
          <w:highlight w:val="none"/>
        </w:rPr>
        <w:t>第六篇  合同主要条款和格式合同</w:t>
      </w:r>
      <w:r>
        <w:rPr>
          <w:b/>
          <w:bCs/>
          <w:color w:val="auto"/>
          <w:sz w:val="32"/>
          <w:szCs w:val="15"/>
          <w:highlight w:val="none"/>
        </w:rPr>
        <w:tab/>
      </w:r>
      <w:r>
        <w:rPr>
          <w:b/>
          <w:bCs/>
          <w:color w:val="auto"/>
          <w:sz w:val="32"/>
          <w:szCs w:val="15"/>
          <w:highlight w:val="none"/>
        </w:rPr>
        <w:fldChar w:fldCharType="begin"/>
      </w:r>
      <w:r>
        <w:rPr>
          <w:b/>
          <w:bCs/>
          <w:color w:val="auto"/>
          <w:sz w:val="32"/>
          <w:szCs w:val="15"/>
          <w:highlight w:val="none"/>
        </w:rPr>
        <w:instrText xml:space="preserve"> PAGEREF _Toc27138 \h </w:instrText>
      </w:r>
      <w:r>
        <w:rPr>
          <w:b/>
          <w:bCs/>
          <w:color w:val="auto"/>
          <w:sz w:val="32"/>
          <w:szCs w:val="15"/>
          <w:highlight w:val="none"/>
        </w:rPr>
        <w:fldChar w:fldCharType="separate"/>
      </w:r>
      <w:r>
        <w:rPr>
          <w:b/>
          <w:bCs/>
          <w:color w:val="auto"/>
          <w:sz w:val="32"/>
          <w:szCs w:val="15"/>
          <w:highlight w:val="none"/>
        </w:rPr>
        <w:t>19</w:t>
      </w:r>
      <w:r>
        <w:rPr>
          <w:b/>
          <w:bCs/>
          <w:color w:val="auto"/>
          <w:sz w:val="32"/>
          <w:szCs w:val="15"/>
          <w:highlight w:val="none"/>
        </w:rPr>
        <w:fldChar w:fldCharType="end"/>
      </w:r>
      <w:r>
        <w:rPr>
          <w:rFonts w:hint="eastAsia" w:ascii="仿宋" w:hAnsi="仿宋" w:eastAsia="仿宋"/>
          <w:b/>
          <w:bCs/>
          <w:color w:val="auto"/>
          <w:sz w:val="32"/>
          <w:szCs w:val="16"/>
          <w:highlight w:val="none"/>
        </w:rPr>
        <w:fldChar w:fldCharType="end"/>
      </w:r>
    </w:p>
    <w:p>
      <w:pPr>
        <w:pStyle w:val="37"/>
        <w:tabs>
          <w:tab w:val="right" w:leader="dot" w:pos="9412"/>
          <w:tab w:val="clear" w:pos="1260"/>
          <w:tab w:val="clear" w:pos="1685"/>
          <w:tab w:val="clear" w:pos="8400"/>
        </w:tabs>
        <w:spacing w:line="360" w:lineRule="auto"/>
        <w:rPr>
          <w:rFonts w:hint="eastAsia" w:eastAsia="仿宋"/>
          <w:b/>
          <w:bCs/>
          <w:color w:val="auto"/>
          <w:sz w:val="32"/>
          <w:szCs w:val="15"/>
          <w:highlight w:val="none"/>
          <w:lang w:val="en-US" w:eastAsia="zh-CN"/>
        </w:rPr>
      </w:pPr>
      <w:r>
        <w:rPr>
          <w:rFonts w:hint="eastAsia" w:ascii="仿宋" w:hAnsi="仿宋" w:eastAsia="仿宋"/>
          <w:b/>
          <w:bCs/>
          <w:color w:val="auto"/>
          <w:sz w:val="32"/>
          <w:szCs w:val="16"/>
          <w:highlight w:val="none"/>
        </w:rPr>
        <w:fldChar w:fldCharType="begin"/>
      </w:r>
      <w:r>
        <w:rPr>
          <w:rFonts w:hint="eastAsia" w:ascii="仿宋" w:hAnsi="仿宋" w:eastAsia="仿宋"/>
          <w:b/>
          <w:bCs/>
          <w:color w:val="auto"/>
          <w:sz w:val="32"/>
          <w:szCs w:val="16"/>
          <w:highlight w:val="none"/>
        </w:rPr>
        <w:instrText xml:space="preserve"> HYPERLINK \l _Toc6528 </w:instrText>
      </w:r>
      <w:r>
        <w:rPr>
          <w:rFonts w:hint="eastAsia" w:ascii="仿宋" w:hAnsi="仿宋" w:eastAsia="仿宋"/>
          <w:b/>
          <w:bCs/>
          <w:color w:val="auto"/>
          <w:sz w:val="32"/>
          <w:szCs w:val="16"/>
          <w:highlight w:val="none"/>
        </w:rPr>
        <w:fldChar w:fldCharType="separate"/>
      </w:r>
      <w:r>
        <w:rPr>
          <w:rFonts w:hint="eastAsia" w:ascii="仿宋" w:hAnsi="仿宋" w:eastAsia="仿宋"/>
          <w:b/>
          <w:bCs/>
          <w:color w:val="auto"/>
          <w:sz w:val="32"/>
          <w:szCs w:val="15"/>
          <w:highlight w:val="none"/>
        </w:rPr>
        <w:t>第七篇  投标文件格式</w:t>
      </w:r>
      <w:r>
        <w:rPr>
          <w:b/>
          <w:bCs/>
          <w:color w:val="auto"/>
          <w:sz w:val="32"/>
          <w:szCs w:val="15"/>
          <w:highlight w:val="none"/>
        </w:rPr>
        <w:tab/>
      </w:r>
      <w:r>
        <w:rPr>
          <w:rFonts w:hint="eastAsia" w:ascii="仿宋" w:hAnsi="仿宋" w:eastAsia="仿宋"/>
          <w:b/>
          <w:bCs/>
          <w:color w:val="auto"/>
          <w:sz w:val="32"/>
          <w:szCs w:val="16"/>
          <w:highlight w:val="none"/>
          <w:lang w:val="en-US" w:eastAsia="zh-CN"/>
        </w:rPr>
        <w:t>2</w:t>
      </w:r>
      <w:r>
        <w:rPr>
          <w:rFonts w:hint="eastAsia" w:ascii="仿宋" w:hAnsi="仿宋" w:eastAsia="仿宋"/>
          <w:b/>
          <w:bCs/>
          <w:color w:val="auto"/>
          <w:sz w:val="32"/>
          <w:szCs w:val="16"/>
          <w:highlight w:val="none"/>
        </w:rPr>
        <w:fldChar w:fldCharType="end"/>
      </w:r>
      <w:r>
        <w:rPr>
          <w:rFonts w:hint="eastAsia" w:ascii="仿宋" w:hAnsi="仿宋" w:eastAsia="仿宋"/>
          <w:b/>
          <w:bCs/>
          <w:color w:val="auto"/>
          <w:sz w:val="32"/>
          <w:szCs w:val="16"/>
          <w:highlight w:val="none"/>
          <w:lang w:val="en-US" w:eastAsia="zh-CN"/>
        </w:rPr>
        <w:t>0</w:t>
      </w:r>
    </w:p>
    <w:p>
      <w:pPr>
        <w:pStyle w:val="45"/>
        <w:tabs>
          <w:tab w:val="right" w:leader="dot" w:pos="9412"/>
          <w:tab w:val="clear" w:pos="8400"/>
        </w:tabs>
        <w:rPr>
          <w:color w:val="auto"/>
          <w:highlight w:val="none"/>
        </w:rPr>
      </w:pPr>
    </w:p>
    <w:p>
      <w:pPr>
        <w:pStyle w:val="37"/>
        <w:ind w:firstLine="0" w:firstLineChars="0"/>
        <w:rPr>
          <w:rFonts w:hint="eastAsia" w:ascii="仿宋" w:hAnsi="仿宋" w:eastAsia="仿宋"/>
          <w:color w:val="auto"/>
          <w:sz w:val="32"/>
          <w:highlight w:val="none"/>
        </w:rPr>
        <w:sectPr>
          <w:pgSz w:w="11907" w:h="16840"/>
          <w:pgMar w:top="1134" w:right="1191" w:bottom="1134" w:left="1304" w:header="964" w:footer="992" w:gutter="0"/>
          <w:pgNumType w:fmt="numberInDash" w:start="1"/>
          <w:cols w:space="720" w:num="1"/>
          <w:docGrid w:linePitch="312" w:charSpace="0"/>
        </w:sectPr>
      </w:pPr>
      <w:r>
        <w:rPr>
          <w:rFonts w:hint="eastAsia" w:ascii="仿宋" w:hAnsi="仿宋" w:eastAsia="仿宋"/>
          <w:color w:val="auto"/>
          <w:szCs w:val="21"/>
          <w:highlight w:val="none"/>
        </w:rPr>
        <w:fldChar w:fldCharType="end"/>
      </w:r>
      <w:bookmarkStart w:id="58" w:name="_GoBack"/>
      <w:bookmarkEnd w:id="58"/>
    </w:p>
    <w:p>
      <w:pPr>
        <w:pStyle w:val="3"/>
        <w:spacing w:before="0" w:beforeLines="0" w:after="0" w:afterLines="0" w:line="360" w:lineRule="auto"/>
        <w:rPr>
          <w:rFonts w:ascii="仿宋" w:hAnsi="仿宋" w:eastAsia="仿宋"/>
          <w:b/>
          <w:color w:val="auto"/>
          <w:highlight w:val="none"/>
        </w:rPr>
      </w:pPr>
      <w:bookmarkStart w:id="0" w:name="_Toc10158"/>
    </w:p>
    <w:p>
      <w:pPr>
        <w:pStyle w:val="3"/>
        <w:spacing w:before="0" w:beforeLines="0" w:after="0" w:afterLines="0" w:line="360" w:lineRule="auto"/>
        <w:rPr>
          <w:rFonts w:hint="eastAsia" w:ascii="仿宋" w:hAnsi="仿宋" w:eastAsia="仿宋"/>
          <w:b/>
          <w:color w:val="auto"/>
          <w:highlight w:val="none"/>
        </w:rPr>
      </w:pPr>
      <w:r>
        <w:rPr>
          <w:rFonts w:ascii="仿宋" w:hAnsi="仿宋" w:eastAsia="仿宋"/>
          <w:b/>
          <w:color w:val="auto"/>
          <w:highlight w:val="none"/>
        </w:rPr>
        <w:t>第一篇</w:t>
      </w:r>
      <w:r>
        <w:rPr>
          <w:rFonts w:hint="eastAsia" w:ascii="仿宋" w:hAnsi="仿宋" w:eastAsia="仿宋"/>
          <w:b/>
          <w:color w:val="auto"/>
          <w:highlight w:val="none"/>
        </w:rPr>
        <w:t xml:space="preserve"> 投标邀请书</w:t>
      </w:r>
      <w:bookmarkEnd w:id="0"/>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lang w:eastAsia="zh-CN"/>
        </w:rPr>
        <w:t>重庆兴辰盛项目管理有限公司</w:t>
      </w:r>
      <w:r>
        <w:rPr>
          <w:rFonts w:hint="eastAsia" w:ascii="仿宋" w:hAnsi="仿宋" w:eastAsia="仿宋" w:cs="Times New Roman"/>
          <w:color w:val="auto"/>
          <w:sz w:val="24"/>
          <w:szCs w:val="24"/>
          <w:highlight w:val="none"/>
          <w:lang w:eastAsia="zh-CN"/>
        </w:rPr>
        <w:t>受重庆市南鸿建筑工程有限责任公司的委托，对南川区严家坝(华尔寺)水厂工程-厂外给水管网（补充材料）项目进行公开招标，欢迎有</w:t>
      </w:r>
      <w:r>
        <w:rPr>
          <w:rFonts w:hint="eastAsia" w:ascii="仿宋" w:hAnsi="仿宋" w:eastAsia="仿宋"/>
          <w:color w:val="auto"/>
          <w:sz w:val="24"/>
          <w:szCs w:val="24"/>
          <w:highlight w:val="none"/>
        </w:rPr>
        <w:t>资格的投标人参加投标。</w:t>
      </w:r>
    </w:p>
    <w:p>
      <w:pPr>
        <w:pStyle w:val="4"/>
        <w:spacing w:line="500" w:lineRule="exact"/>
        <w:ind w:firstLine="482" w:firstLineChars="200"/>
        <w:rPr>
          <w:rFonts w:hint="eastAsia" w:ascii="仿宋" w:hAnsi="仿宋" w:eastAsia="仿宋"/>
          <w:b/>
          <w:color w:val="auto"/>
          <w:sz w:val="24"/>
          <w:highlight w:val="none"/>
        </w:rPr>
      </w:pPr>
      <w:bookmarkStart w:id="1" w:name="_Toc31247"/>
      <w:r>
        <w:rPr>
          <w:rFonts w:hint="eastAsia" w:ascii="仿宋" w:hAnsi="仿宋" w:eastAsia="仿宋"/>
          <w:b/>
          <w:color w:val="auto"/>
          <w:sz w:val="24"/>
          <w:highlight w:val="none"/>
        </w:rPr>
        <w:t>一、招标项目内容</w:t>
      </w:r>
      <w:bookmarkEnd w:id="1"/>
    </w:p>
    <w:tbl>
      <w:tblPr>
        <w:tblStyle w:val="57"/>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2310"/>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3" w:type="dxa"/>
            <w:vAlign w:val="center"/>
          </w:tcPr>
          <w:p>
            <w:pPr>
              <w:pStyle w:val="23"/>
              <w:spacing w:line="240" w:lineRule="atLeast"/>
              <w:ind w:left="0"/>
              <w:jc w:val="center"/>
              <w:outlineLvl w:val="0"/>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eastAsia="zh-CN"/>
              </w:rPr>
              <w:t>项目名称</w:t>
            </w:r>
          </w:p>
        </w:tc>
        <w:tc>
          <w:tcPr>
            <w:tcW w:w="2310" w:type="dxa"/>
            <w:vAlign w:val="center"/>
          </w:tcPr>
          <w:p>
            <w:pPr>
              <w:pStyle w:val="23"/>
              <w:spacing w:line="240" w:lineRule="atLeast"/>
              <w:ind w:left="0"/>
              <w:jc w:val="center"/>
              <w:outlineLvl w:val="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最高限价</w:t>
            </w:r>
          </w:p>
          <w:p>
            <w:pPr>
              <w:pStyle w:val="23"/>
              <w:spacing w:line="240" w:lineRule="atLeast"/>
              <w:ind w:left="0"/>
              <w:jc w:val="center"/>
              <w:outlineLvl w:val="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（元）</w:t>
            </w:r>
          </w:p>
        </w:tc>
        <w:tc>
          <w:tcPr>
            <w:tcW w:w="2570" w:type="dxa"/>
            <w:vAlign w:val="center"/>
          </w:tcPr>
          <w:p>
            <w:pPr>
              <w:pStyle w:val="23"/>
              <w:spacing w:line="240" w:lineRule="atLeast"/>
              <w:ind w:left="0"/>
              <w:jc w:val="center"/>
              <w:outlineLvl w:val="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933" w:type="dxa"/>
            <w:vAlign w:val="center"/>
          </w:tcPr>
          <w:p>
            <w:pPr>
              <w:pStyle w:val="16"/>
              <w:spacing w:line="240" w:lineRule="atLeast"/>
              <w:ind w:firstLine="0"/>
              <w:jc w:val="center"/>
              <w:outlineLvl w:val="0"/>
              <w:rPr>
                <w:rFonts w:hint="eastAsia" w:ascii="仿宋" w:hAnsi="仿宋" w:eastAsia="仿宋"/>
                <w:color w:val="auto"/>
                <w:szCs w:val="24"/>
                <w:highlight w:val="none"/>
                <w:lang w:val="en-US" w:eastAsia="zh-CN"/>
              </w:rPr>
            </w:pPr>
            <w:r>
              <w:rPr>
                <w:rFonts w:hint="eastAsia" w:ascii="仿宋" w:hAnsi="仿宋" w:eastAsia="仿宋"/>
                <w:color w:val="auto"/>
                <w:szCs w:val="24"/>
                <w:highlight w:val="none"/>
                <w:lang w:eastAsia="zh-CN"/>
              </w:rPr>
              <w:t>南川区严家坝(华尔寺)水厂工程-厂外给水管网（补充材料）</w:t>
            </w:r>
          </w:p>
        </w:tc>
        <w:tc>
          <w:tcPr>
            <w:tcW w:w="2310"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2"/>
                <w:szCs w:val="22"/>
                <w:u w:val="none"/>
                <w:lang w:val="en-US" w:eastAsia="zh-CN" w:bidi="ar-SA"/>
              </w:rPr>
            </w:pPr>
            <w:r>
              <w:rPr>
                <w:rFonts w:hint="default" w:ascii="宋体" w:hAnsi="宋体" w:eastAsia="宋体" w:cs="宋体"/>
                <w:b/>
                <w:bCs/>
                <w:i w:val="0"/>
                <w:iCs w:val="0"/>
                <w:color w:val="000000"/>
                <w:kern w:val="2"/>
                <w:sz w:val="22"/>
                <w:szCs w:val="22"/>
                <w:u w:val="none"/>
                <w:lang w:val="en-US" w:eastAsia="zh-CN" w:bidi="ar-SA"/>
              </w:rPr>
              <w:t>6656394.78</w:t>
            </w:r>
          </w:p>
        </w:tc>
        <w:tc>
          <w:tcPr>
            <w:tcW w:w="2570" w:type="dxa"/>
            <w:vAlign w:val="top"/>
          </w:tcPr>
          <w:p>
            <w:pPr>
              <w:pStyle w:val="23"/>
              <w:numPr>
                <w:ilvl w:val="0"/>
                <w:numId w:val="0"/>
              </w:numPr>
              <w:spacing w:line="240" w:lineRule="atLeast"/>
              <w:jc w:val="left"/>
              <w:outlineLvl w:val="0"/>
              <w:rPr>
                <w:rFonts w:hint="default" w:ascii="仿宋" w:hAnsi="仿宋" w:eastAsia="仿宋"/>
                <w:color w:val="auto"/>
                <w:sz w:val="24"/>
                <w:szCs w:val="24"/>
                <w:highlight w:val="none"/>
                <w:lang w:val="en-US" w:eastAsia="zh-CN"/>
              </w:rPr>
            </w:pPr>
            <w:r>
              <w:rPr>
                <w:rFonts w:hint="eastAsia" w:ascii="仿宋" w:hAnsi="仿宋" w:eastAsia="仿宋"/>
                <w:color w:val="auto"/>
                <w:kern w:val="2"/>
                <w:sz w:val="24"/>
                <w:szCs w:val="24"/>
                <w:highlight w:val="none"/>
                <w:lang w:val="en-US" w:eastAsia="zh-CN" w:bidi="ar-SA"/>
              </w:rPr>
              <w:t>投标人的投标报价不得超过最高限价。</w:t>
            </w:r>
          </w:p>
        </w:tc>
      </w:tr>
    </w:tbl>
    <w:p>
      <w:pPr>
        <w:spacing w:line="400" w:lineRule="exact"/>
        <w:ind w:firstLine="482" w:firstLineChars="200"/>
        <w:rPr>
          <w:rFonts w:hint="eastAsia" w:ascii="仿宋" w:hAnsi="仿宋" w:eastAsia="仿宋"/>
          <w:b/>
          <w:color w:val="auto"/>
          <w:sz w:val="24"/>
          <w:highlight w:val="none"/>
        </w:rPr>
      </w:pPr>
      <w:bookmarkStart w:id="2" w:name="_Toc19683"/>
      <w:r>
        <w:rPr>
          <w:rFonts w:hint="eastAsia" w:ascii="仿宋" w:hAnsi="仿宋" w:eastAsia="仿宋"/>
          <w:b/>
          <w:color w:val="auto"/>
          <w:sz w:val="24"/>
          <w:highlight w:val="none"/>
        </w:rPr>
        <w:t>二、</w:t>
      </w:r>
      <w:bookmarkEnd w:id="2"/>
      <w:bookmarkStart w:id="3" w:name="_Toc25458"/>
      <w:r>
        <w:rPr>
          <w:rFonts w:hint="eastAsia" w:ascii="仿宋" w:hAnsi="仿宋" w:eastAsia="仿宋"/>
          <w:b/>
          <w:color w:val="auto"/>
          <w:sz w:val="24"/>
          <w:highlight w:val="none"/>
        </w:rPr>
        <w:t>投标人资格要求</w:t>
      </w:r>
      <w:bookmarkEnd w:id="3"/>
    </w:p>
    <w:p>
      <w:pPr>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合格投标人应首先符合政府采购法第二十二条规定的基本条件，同时符合根据该项目特点设置的特定资格条件。</w:t>
      </w:r>
    </w:p>
    <w:p>
      <w:pPr>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（一）基本资格条件</w:t>
      </w:r>
    </w:p>
    <w:p>
      <w:pPr>
        <w:snapToGrid w:val="0"/>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1.具有独立承担民事责任的能力；</w:t>
      </w:r>
    </w:p>
    <w:p>
      <w:pPr>
        <w:snapToGrid w:val="0"/>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2.具有良好的商业信誉和健全的财务会计制度；</w:t>
      </w:r>
    </w:p>
    <w:p>
      <w:pPr>
        <w:snapToGrid w:val="0"/>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3.具有履行合同所必需的设备和专业技术能力；</w:t>
      </w:r>
    </w:p>
    <w:p>
      <w:pPr>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4.参加采购活动前三年内，在经营活动中没有重大违法记录；</w:t>
      </w:r>
    </w:p>
    <w:p>
      <w:pPr>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5.法律、行政法规规定的其他条件。</w:t>
      </w:r>
    </w:p>
    <w:p>
      <w:pPr>
        <w:snapToGrid w:val="0"/>
        <w:spacing w:line="400" w:lineRule="exact"/>
        <w:ind w:firstLine="480" w:firstLineChars="200"/>
        <w:rPr>
          <w:rFonts w:hint="eastAsia" w:ascii="仿宋" w:hAnsi="仿宋" w:eastAsia="仿宋" w:cs="Times New Roman"/>
          <w:color w:val="auto"/>
          <w:sz w:val="24"/>
          <w:szCs w:val="24"/>
        </w:rPr>
      </w:pPr>
      <w:bookmarkStart w:id="4" w:name="_Toc17163"/>
      <w:r>
        <w:rPr>
          <w:rFonts w:hint="eastAsia" w:ascii="仿宋" w:hAnsi="仿宋" w:eastAsia="仿宋" w:cs="Times New Roman"/>
          <w:color w:val="auto"/>
          <w:sz w:val="24"/>
          <w:szCs w:val="24"/>
        </w:rPr>
        <w:t>（二）特定资格条件</w:t>
      </w:r>
    </w:p>
    <w:p>
      <w:pPr>
        <w:snapToGrid w:val="0"/>
        <w:spacing w:line="400" w:lineRule="exact"/>
        <w:ind w:firstLine="480" w:firstLineChars="200"/>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1.具备有效的营业执照（提供营业执照复印件）。</w:t>
      </w:r>
    </w:p>
    <w:p>
      <w:pPr>
        <w:snapToGrid w:val="0"/>
        <w:spacing w:line="400" w:lineRule="exact"/>
        <w:ind w:firstLine="480" w:firstLineChars="200"/>
        <w:rPr>
          <w:rFonts w:hint="default" w:ascii="仿宋" w:hAnsi="仿宋" w:eastAsia="仿宋" w:cs="Times New Roman"/>
          <w:color w:val="auto"/>
          <w:sz w:val="24"/>
          <w:szCs w:val="24"/>
          <w:lang w:val="en-US"/>
        </w:rPr>
      </w:pPr>
      <w:r>
        <w:rPr>
          <w:rFonts w:hint="eastAsia" w:ascii="仿宋" w:hAnsi="仿宋" w:eastAsia="仿宋" w:cs="Times New Roman"/>
          <w:color w:val="auto"/>
          <w:sz w:val="24"/>
          <w:szCs w:val="24"/>
          <w:lang w:val="en-US" w:eastAsia="zh-CN"/>
        </w:rPr>
        <w:t>2.投标人2020年1月1日以来（以签订合同时间为准）具有合同金额大于450万元的类似材料供货业绩（提供合同复印件）。</w:t>
      </w:r>
    </w:p>
    <w:p>
      <w:pPr>
        <w:pStyle w:val="4"/>
        <w:spacing w:line="500" w:lineRule="exact"/>
        <w:ind w:firstLine="482" w:firstLineChars="200"/>
        <w:rPr>
          <w:rFonts w:hint="eastAsia" w:ascii="仿宋" w:hAnsi="仿宋" w:eastAsia="仿宋"/>
          <w:b/>
          <w:color w:val="auto"/>
          <w:sz w:val="24"/>
          <w:highlight w:val="none"/>
        </w:rPr>
      </w:pPr>
      <w:r>
        <w:rPr>
          <w:rFonts w:hint="eastAsia" w:ascii="仿宋" w:hAnsi="仿宋" w:eastAsia="仿宋"/>
          <w:b/>
          <w:color w:val="auto"/>
          <w:sz w:val="24"/>
          <w:highlight w:val="none"/>
          <w:lang w:val="en-US" w:eastAsia="zh-CN"/>
        </w:rPr>
        <w:t>三</w:t>
      </w:r>
      <w:r>
        <w:rPr>
          <w:rFonts w:hint="eastAsia" w:ascii="仿宋" w:hAnsi="仿宋" w:eastAsia="仿宋"/>
          <w:b/>
          <w:color w:val="auto"/>
          <w:sz w:val="24"/>
          <w:highlight w:val="none"/>
        </w:rPr>
        <w:t>、投标、开标有关说明</w:t>
      </w:r>
      <w:bookmarkEnd w:id="4"/>
    </w:p>
    <w:p>
      <w:pPr>
        <w:pageBreakBefore w:val="0"/>
        <w:widowControl w:val="0"/>
        <w:kinsoku/>
        <w:wordWrap/>
        <w:overflowPunct/>
        <w:topLinePunct w:val="0"/>
        <w:bidi w:val="0"/>
        <w:snapToGrid w:val="0"/>
        <w:spacing w:line="380" w:lineRule="exact"/>
        <w:ind w:firstLine="480" w:firstLineChars="200"/>
        <w:jc w:val="left"/>
        <w:textAlignment w:val="auto"/>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w:t>
      </w:r>
      <w:r>
        <w:rPr>
          <w:rFonts w:hint="eastAsia" w:ascii="仿宋" w:hAnsi="仿宋" w:eastAsia="仿宋" w:cs="仿宋"/>
          <w:color w:val="auto"/>
          <w:sz w:val="24"/>
          <w:highlight w:val="none"/>
        </w:rPr>
        <w:t>凡有意参加招标的投标人,请于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2023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lang w:val="en-US" w:eastAsia="zh-CN"/>
        </w:rPr>
        <w:t xml:space="preserve">  6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lang w:val="en-US" w:eastAsia="zh-CN"/>
        </w:rPr>
        <w:t xml:space="preserve"> 14   </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起</w:t>
      </w:r>
      <w:r>
        <w:rPr>
          <w:rFonts w:hint="eastAsia" w:ascii="仿宋" w:hAnsi="仿宋" w:eastAsia="仿宋" w:cs="仿宋"/>
          <w:color w:val="auto"/>
          <w:sz w:val="24"/>
          <w:highlight w:val="none"/>
        </w:rPr>
        <w:t>，在南川区城市建设投资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集团</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有限公司官网直接下载本招标项目的招标文件等相关资料，不管投标人下载与否，都视为投标人收到以上资料并全部知晓有关招标过程和事宜。</w:t>
      </w:r>
    </w:p>
    <w:p>
      <w:pPr>
        <w:spacing w:line="400" w:lineRule="exact"/>
        <w:ind w:firstLine="480" w:firstLineChars="200"/>
        <w:rPr>
          <w:rFonts w:hint="eastAsia" w:ascii="仿宋" w:hAnsi="仿宋" w:eastAsia="仿宋" w:cs="仿宋"/>
          <w:color w:val="auto"/>
          <w:kern w:val="0"/>
          <w:sz w:val="24"/>
          <w:highlight w:val="none"/>
          <w:u w:val="single"/>
        </w:rPr>
      </w:pP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二</w:t>
      </w:r>
      <w:r>
        <w:rPr>
          <w:rFonts w:hint="eastAsia" w:ascii="仿宋" w:hAnsi="仿宋" w:eastAsia="仿宋"/>
          <w:color w:val="auto"/>
          <w:sz w:val="24"/>
          <w:szCs w:val="24"/>
          <w:highlight w:val="none"/>
        </w:rPr>
        <w:t>）投标地点：</w:t>
      </w:r>
      <w:r>
        <w:rPr>
          <w:rFonts w:hint="eastAsia" w:ascii="仿宋" w:hAnsi="仿宋" w:eastAsia="仿宋" w:cs="仿宋"/>
          <w:color w:val="auto"/>
          <w:kern w:val="0"/>
          <w:sz w:val="24"/>
          <w:highlight w:val="none"/>
          <w:u w:val="single"/>
        </w:rPr>
        <w:t>重庆市南鸿建筑工程有限责任公司经营部</w:t>
      </w:r>
    </w:p>
    <w:p>
      <w:pPr>
        <w:spacing w:line="400" w:lineRule="exact"/>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三</w:t>
      </w:r>
      <w:r>
        <w:rPr>
          <w:rFonts w:hint="eastAsia" w:ascii="仿宋" w:hAnsi="仿宋" w:eastAsia="仿宋"/>
          <w:color w:val="auto"/>
          <w:sz w:val="24"/>
          <w:szCs w:val="24"/>
          <w:highlight w:val="none"/>
        </w:rPr>
        <w:t>）投标截止时间：</w:t>
      </w:r>
      <w:r>
        <w:rPr>
          <w:rFonts w:hint="eastAsia" w:ascii="仿宋" w:hAnsi="仿宋" w:eastAsia="仿宋"/>
          <w:color w:val="auto"/>
          <w:sz w:val="24"/>
          <w:szCs w:val="24"/>
          <w:highlight w:val="none"/>
          <w:u w:val="single"/>
          <w:lang w:val="en-US" w:eastAsia="zh-CN"/>
        </w:rPr>
        <w:t xml:space="preserve">  2023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lang w:val="en-US" w:eastAsia="zh-CN"/>
        </w:rPr>
        <w:t xml:space="preserve">  6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lang w:val="en-US" w:eastAsia="zh-CN"/>
        </w:rPr>
        <w:t xml:space="preserve">  21  </w:t>
      </w:r>
      <w:r>
        <w:rPr>
          <w:rFonts w:hint="eastAsia" w:ascii="仿宋" w:hAnsi="仿宋" w:eastAsia="仿宋"/>
          <w:color w:val="auto"/>
          <w:sz w:val="24"/>
          <w:szCs w:val="24"/>
          <w:highlight w:val="none"/>
        </w:rPr>
        <w:t>日北京时间</w:t>
      </w:r>
      <w:r>
        <w:rPr>
          <w:rFonts w:hint="eastAsia" w:ascii="仿宋" w:hAnsi="仿宋" w:eastAsia="仿宋"/>
          <w:color w:val="auto"/>
          <w:sz w:val="24"/>
          <w:szCs w:val="24"/>
          <w:highlight w:val="none"/>
          <w:u w:val="single"/>
          <w:lang w:val="en-US" w:eastAsia="zh-CN"/>
        </w:rPr>
        <w:t xml:space="preserve">  9  </w:t>
      </w:r>
      <w:r>
        <w:rPr>
          <w:rFonts w:hint="eastAsia" w:ascii="仿宋" w:hAnsi="仿宋" w:eastAsia="仿宋"/>
          <w:color w:val="auto"/>
          <w:sz w:val="24"/>
          <w:szCs w:val="24"/>
          <w:highlight w:val="none"/>
          <w:lang w:val="en-US" w:eastAsia="zh-CN"/>
        </w:rPr>
        <w:t>时</w:t>
      </w:r>
      <w:r>
        <w:rPr>
          <w:rFonts w:hint="eastAsia" w:ascii="仿宋" w:hAnsi="仿宋" w:eastAsia="仿宋"/>
          <w:color w:val="auto"/>
          <w:sz w:val="24"/>
          <w:szCs w:val="24"/>
          <w:highlight w:val="none"/>
          <w:u w:val="single"/>
          <w:lang w:val="en-US" w:eastAsia="zh-CN"/>
        </w:rPr>
        <w:t xml:space="preserve">  30   </w:t>
      </w:r>
      <w:r>
        <w:rPr>
          <w:rFonts w:hint="eastAsia" w:ascii="仿宋" w:hAnsi="仿宋" w:eastAsia="仿宋"/>
          <w:color w:val="auto"/>
          <w:sz w:val="24"/>
          <w:szCs w:val="24"/>
          <w:highlight w:val="none"/>
          <w:lang w:val="en-US" w:eastAsia="zh-CN"/>
        </w:rPr>
        <w:t>分（</w:t>
      </w:r>
      <w:r>
        <w:rPr>
          <w:rFonts w:hint="eastAsia" w:ascii="仿宋" w:hAnsi="仿宋" w:eastAsia="仿宋"/>
          <w:color w:val="auto"/>
          <w:sz w:val="24"/>
          <w:szCs w:val="24"/>
          <w:highlight w:val="none"/>
        </w:rPr>
        <w:t>超过投标截止时间递交的投标文件，恕不接收。</w:t>
      </w:r>
      <w:r>
        <w:rPr>
          <w:rFonts w:hint="eastAsia" w:ascii="仿宋" w:hAnsi="仿宋" w:eastAsia="仿宋"/>
          <w:color w:val="auto"/>
          <w:sz w:val="24"/>
          <w:szCs w:val="24"/>
          <w:highlight w:val="none"/>
          <w:lang w:val="en-US" w:eastAsia="zh-CN"/>
        </w:rPr>
        <w:t>）</w:t>
      </w:r>
    </w:p>
    <w:p>
      <w:pPr>
        <w:spacing w:line="400" w:lineRule="exact"/>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四</w:t>
      </w:r>
      <w:r>
        <w:rPr>
          <w:rFonts w:hint="eastAsia" w:ascii="仿宋" w:hAnsi="仿宋" w:eastAsia="仿宋"/>
          <w:color w:val="auto"/>
          <w:sz w:val="24"/>
          <w:szCs w:val="24"/>
          <w:highlight w:val="none"/>
        </w:rPr>
        <w:t>）招标文件每套售价</w:t>
      </w:r>
      <w:r>
        <w:rPr>
          <w:rFonts w:hint="eastAsia" w:ascii="仿宋" w:hAnsi="仿宋" w:eastAsia="仿宋"/>
          <w:color w:val="auto"/>
          <w:sz w:val="24"/>
          <w:szCs w:val="24"/>
          <w:highlight w:val="none"/>
          <w:lang w:val="en-US" w:eastAsia="zh-CN"/>
        </w:rPr>
        <w:t>6</w:t>
      </w:r>
      <w:r>
        <w:rPr>
          <w:rFonts w:hint="eastAsia" w:ascii="仿宋" w:hAnsi="仿宋" w:eastAsia="仿宋"/>
          <w:color w:val="auto"/>
          <w:sz w:val="24"/>
          <w:szCs w:val="24"/>
          <w:highlight w:val="none"/>
        </w:rPr>
        <w:t>00.00元，售后不退。</w:t>
      </w:r>
      <w:r>
        <w:rPr>
          <w:rFonts w:hint="eastAsia" w:ascii="仿宋" w:hAnsi="仿宋" w:eastAsia="仿宋"/>
          <w:color w:val="auto"/>
          <w:sz w:val="24"/>
          <w:szCs w:val="24"/>
          <w:highlight w:val="none"/>
          <w:lang w:val="en-US" w:eastAsia="zh-CN"/>
        </w:rPr>
        <w:t>各投标人在递交投标文件的时候一并缴纳，否则招标人和代理机构有权拒绝接受其投标文件。</w:t>
      </w:r>
    </w:p>
    <w:p>
      <w:pPr>
        <w:spacing w:line="400" w:lineRule="exact"/>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五</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开标时间：</w:t>
      </w:r>
      <w:r>
        <w:rPr>
          <w:rFonts w:hint="eastAsia" w:ascii="仿宋" w:hAnsi="仿宋" w:eastAsia="仿宋"/>
          <w:color w:val="auto"/>
          <w:sz w:val="24"/>
          <w:szCs w:val="24"/>
          <w:highlight w:val="none"/>
          <w:u w:val="single"/>
          <w:lang w:val="en-US" w:eastAsia="zh-CN"/>
        </w:rPr>
        <w:t xml:space="preserve">  2023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lang w:val="en-US" w:eastAsia="zh-CN"/>
        </w:rPr>
        <w:t xml:space="preserve">   6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lang w:val="en-US" w:eastAsia="zh-CN"/>
        </w:rPr>
        <w:t xml:space="preserve">   21  </w:t>
      </w:r>
      <w:r>
        <w:rPr>
          <w:rFonts w:hint="eastAsia" w:ascii="仿宋" w:hAnsi="仿宋" w:eastAsia="仿宋"/>
          <w:color w:val="auto"/>
          <w:sz w:val="24"/>
          <w:szCs w:val="24"/>
          <w:highlight w:val="none"/>
        </w:rPr>
        <w:t>日北京时间</w:t>
      </w:r>
      <w:r>
        <w:rPr>
          <w:rFonts w:hint="eastAsia" w:ascii="仿宋" w:hAnsi="仿宋" w:eastAsia="仿宋"/>
          <w:color w:val="auto"/>
          <w:sz w:val="24"/>
          <w:szCs w:val="24"/>
          <w:highlight w:val="none"/>
          <w:u w:val="single"/>
          <w:lang w:val="en-US" w:eastAsia="zh-CN"/>
        </w:rPr>
        <w:t xml:space="preserve">   9   </w:t>
      </w:r>
      <w:r>
        <w:rPr>
          <w:rFonts w:hint="eastAsia" w:ascii="仿宋" w:hAnsi="仿宋" w:eastAsia="仿宋"/>
          <w:color w:val="auto"/>
          <w:sz w:val="24"/>
          <w:szCs w:val="24"/>
          <w:highlight w:val="none"/>
          <w:lang w:val="en-US" w:eastAsia="zh-CN"/>
        </w:rPr>
        <w:t>时</w:t>
      </w:r>
      <w:r>
        <w:rPr>
          <w:rFonts w:hint="eastAsia" w:ascii="仿宋" w:hAnsi="仿宋" w:eastAsia="仿宋"/>
          <w:color w:val="auto"/>
          <w:sz w:val="24"/>
          <w:szCs w:val="24"/>
          <w:highlight w:val="none"/>
          <w:u w:val="single"/>
          <w:lang w:val="en-US" w:eastAsia="zh-CN"/>
        </w:rPr>
        <w:t xml:space="preserve">  30  </w:t>
      </w:r>
      <w:r>
        <w:rPr>
          <w:rFonts w:hint="eastAsia" w:ascii="仿宋" w:hAnsi="仿宋" w:eastAsia="仿宋"/>
          <w:color w:val="auto"/>
          <w:sz w:val="24"/>
          <w:szCs w:val="24"/>
          <w:highlight w:val="none"/>
          <w:lang w:val="en-US" w:eastAsia="zh-CN"/>
        </w:rPr>
        <w:t>分</w:t>
      </w:r>
    </w:p>
    <w:p>
      <w:pPr>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六</w:t>
      </w:r>
      <w:r>
        <w:rPr>
          <w:rFonts w:hint="eastAsia" w:ascii="仿宋" w:hAnsi="仿宋" w:eastAsia="仿宋"/>
          <w:color w:val="auto"/>
          <w:sz w:val="24"/>
          <w:szCs w:val="24"/>
          <w:highlight w:val="none"/>
        </w:rPr>
        <w:t>）开标地点：同投标地点</w:t>
      </w:r>
    </w:p>
    <w:p>
      <w:pPr>
        <w:pStyle w:val="4"/>
        <w:spacing w:line="500" w:lineRule="exact"/>
        <w:ind w:firstLine="482" w:firstLineChars="200"/>
        <w:rPr>
          <w:rFonts w:hint="eastAsia" w:ascii="仿宋" w:hAnsi="仿宋" w:eastAsia="仿宋"/>
          <w:b/>
          <w:color w:val="auto"/>
          <w:sz w:val="24"/>
          <w:highlight w:val="none"/>
        </w:rPr>
      </w:pPr>
      <w:bookmarkStart w:id="5" w:name="_Toc3508"/>
      <w:r>
        <w:rPr>
          <w:rFonts w:hint="eastAsia" w:ascii="仿宋" w:hAnsi="仿宋" w:eastAsia="仿宋"/>
          <w:b/>
          <w:color w:val="auto"/>
          <w:sz w:val="24"/>
          <w:highlight w:val="none"/>
          <w:lang w:val="en-US" w:eastAsia="zh-CN"/>
        </w:rPr>
        <w:t>四</w:t>
      </w:r>
      <w:r>
        <w:rPr>
          <w:rFonts w:hint="eastAsia" w:ascii="仿宋" w:hAnsi="仿宋" w:eastAsia="仿宋"/>
          <w:b/>
          <w:color w:val="auto"/>
          <w:sz w:val="24"/>
          <w:highlight w:val="none"/>
        </w:rPr>
        <w:t>、</w:t>
      </w:r>
      <w:bookmarkEnd w:id="5"/>
      <w:bookmarkStart w:id="6" w:name="_Toc25048"/>
      <w:r>
        <w:rPr>
          <w:rFonts w:hint="eastAsia" w:ascii="仿宋" w:hAnsi="仿宋" w:eastAsia="仿宋"/>
          <w:b/>
          <w:color w:val="auto"/>
          <w:sz w:val="24"/>
          <w:highlight w:val="none"/>
        </w:rPr>
        <w:t>联系方式</w:t>
      </w:r>
      <w:bookmarkEnd w:id="6"/>
    </w:p>
    <w:p>
      <w:pPr>
        <w:snapToGrid w:val="0"/>
        <w:spacing w:line="400" w:lineRule="exact"/>
        <w:ind w:firstLine="480" w:firstLineChars="200"/>
        <w:rPr>
          <w:rFonts w:hint="eastAsia" w:ascii="仿宋" w:hAnsi="仿宋" w:eastAsia="仿宋" w:cs="Times New Roman"/>
          <w:color w:val="auto"/>
          <w:sz w:val="24"/>
          <w:szCs w:val="24"/>
          <w:highlight w:val="none"/>
          <w:lang w:eastAsia="zh-CN"/>
        </w:rPr>
      </w:pPr>
      <w:r>
        <w:rPr>
          <w:rFonts w:hint="eastAsia" w:ascii="仿宋" w:hAnsi="仿宋" w:eastAsia="仿宋"/>
          <w:color w:val="auto"/>
          <w:sz w:val="24"/>
          <w:szCs w:val="24"/>
          <w:highlight w:val="none"/>
        </w:rPr>
        <w:t>（一）采购</w:t>
      </w:r>
      <w:r>
        <w:rPr>
          <w:rFonts w:hint="eastAsia" w:ascii="仿宋" w:hAnsi="仿宋" w:eastAsia="仿宋" w:cs="Times New Roman"/>
          <w:color w:val="auto"/>
          <w:sz w:val="24"/>
          <w:szCs w:val="24"/>
          <w:highlight w:val="none"/>
          <w:lang w:eastAsia="zh-CN"/>
        </w:rPr>
        <w:t>人：重庆市南鸿建筑工程有限责任公司</w:t>
      </w:r>
    </w:p>
    <w:p>
      <w:pPr>
        <w:snapToGrid w:val="0"/>
        <w:spacing w:line="400" w:lineRule="exact"/>
        <w:ind w:firstLine="480" w:firstLineChars="200"/>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eastAsia="zh-CN"/>
        </w:rPr>
        <w:t>地  址：</w:t>
      </w:r>
      <w:r>
        <w:rPr>
          <w:rFonts w:hint="eastAsia" w:ascii="仿宋" w:hAnsi="仿宋" w:eastAsia="仿宋" w:cs="Times New Roman"/>
          <w:color w:val="auto"/>
          <w:sz w:val="24"/>
          <w:szCs w:val="24"/>
          <w:highlight w:val="none"/>
          <w:lang w:val="en-US" w:eastAsia="zh-CN"/>
        </w:rPr>
        <w:t>南川区西城街道南鸿大厦</w:t>
      </w:r>
    </w:p>
    <w:p>
      <w:pPr>
        <w:snapToGrid w:val="0"/>
        <w:spacing w:line="400" w:lineRule="exact"/>
        <w:ind w:firstLine="480" w:firstLineChars="200"/>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eastAsia="zh-CN"/>
        </w:rPr>
        <w:t>联系人：</w:t>
      </w:r>
      <w:r>
        <w:rPr>
          <w:rFonts w:hint="eastAsia" w:ascii="仿宋" w:hAnsi="仿宋" w:eastAsia="仿宋" w:cs="Times New Roman"/>
          <w:color w:val="auto"/>
          <w:sz w:val="24"/>
          <w:szCs w:val="24"/>
          <w:highlight w:val="none"/>
          <w:lang w:val="en-US" w:eastAsia="zh-CN"/>
        </w:rPr>
        <w:t>唐老师</w:t>
      </w:r>
    </w:p>
    <w:p>
      <w:pPr>
        <w:spacing w:line="400" w:lineRule="exact"/>
        <w:ind w:firstLine="480" w:firstLineChars="200"/>
        <w:rPr>
          <w:rFonts w:hint="default"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电  话：023-81110198</w:t>
      </w:r>
    </w:p>
    <w:p>
      <w:pPr>
        <w:spacing w:line="400" w:lineRule="exact"/>
        <w:ind w:firstLine="480" w:firstLineChars="200"/>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（二）采购代理机构：重庆兴辰盛项目管理有限公司</w:t>
      </w:r>
    </w:p>
    <w:p>
      <w:pPr>
        <w:spacing w:line="400" w:lineRule="exact"/>
        <w:ind w:firstLine="480" w:firstLineChars="200"/>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地  址：重庆市武隆区芙蓉街道芙蓉西路90号7幢3-1</w:t>
      </w:r>
    </w:p>
    <w:p>
      <w:pPr>
        <w:spacing w:line="400" w:lineRule="exact"/>
        <w:ind w:firstLine="480" w:firstLineChars="200"/>
        <w:rPr>
          <w:rFonts w:hint="eastAsia" w:ascii="仿宋" w:hAnsi="仿宋" w:eastAsia="仿宋" w:cs="Times New Roman"/>
          <w:color w:val="auto"/>
          <w:sz w:val="24"/>
          <w:szCs w:val="24"/>
          <w:highlight w:val="none"/>
          <w:lang w:val="en-US" w:eastAsia="zh-CN"/>
        </w:rPr>
      </w:pPr>
      <w:r>
        <w:rPr>
          <w:rFonts w:hint="eastAsia" w:ascii="仿宋" w:hAnsi="仿宋" w:eastAsia="仿宋" w:cs="Times New Roman"/>
          <w:color w:val="auto"/>
          <w:sz w:val="24"/>
          <w:szCs w:val="24"/>
          <w:highlight w:val="none"/>
          <w:lang w:val="en-US" w:eastAsia="zh-CN"/>
        </w:rPr>
        <w:t xml:space="preserve">联系人：王老师  </w:t>
      </w:r>
    </w:p>
    <w:p>
      <w:pPr>
        <w:spacing w:line="400" w:lineRule="exact"/>
        <w:ind w:firstLine="480" w:firstLineChars="200"/>
        <w:rPr>
          <w:rFonts w:hint="default" w:ascii="仿宋" w:hAnsi="仿宋" w:eastAsia="仿宋"/>
          <w:color w:val="auto"/>
          <w:highlight w:val="none"/>
          <w:lang w:val="en-US"/>
        </w:rPr>
        <w:sectPr>
          <w:footerReference r:id="rId7" w:type="default"/>
          <w:footerReference r:id="rId8" w:type="even"/>
          <w:pgSz w:w="11907" w:h="16840"/>
          <w:pgMar w:top="1134" w:right="1191" w:bottom="1134" w:left="1304" w:header="964" w:footer="992" w:gutter="0"/>
          <w:pgNumType w:fmt="decimal" w:start="1"/>
          <w:cols w:space="720" w:num="1"/>
          <w:docGrid w:linePitch="381" w:charSpace="0"/>
        </w:sectPr>
      </w:pPr>
      <w:r>
        <w:rPr>
          <w:rFonts w:hint="eastAsia" w:ascii="仿宋" w:hAnsi="仿宋" w:eastAsia="仿宋" w:cs="Times New Roman"/>
          <w:color w:val="auto"/>
          <w:sz w:val="24"/>
          <w:szCs w:val="24"/>
          <w:highlight w:val="none"/>
          <w:lang w:val="en-US" w:eastAsia="zh-CN"/>
        </w:rPr>
        <w:t>电  话：17323909217</w:t>
      </w:r>
    </w:p>
    <w:p>
      <w:pPr>
        <w:pStyle w:val="3"/>
        <w:numPr>
          <w:ilvl w:val="0"/>
          <w:numId w:val="16"/>
        </w:numPr>
        <w:spacing w:before="0" w:beforeLines="0" w:after="0" w:afterLines="0" w:line="360" w:lineRule="auto"/>
        <w:rPr>
          <w:rFonts w:hint="eastAsia" w:ascii="仿宋" w:hAnsi="仿宋" w:eastAsia="仿宋"/>
          <w:b/>
          <w:color w:val="auto"/>
          <w:highlight w:val="none"/>
        </w:rPr>
      </w:pPr>
      <w:bookmarkStart w:id="7" w:name="_Toc19653"/>
      <w:r>
        <w:rPr>
          <w:rFonts w:hint="eastAsia" w:ascii="仿宋" w:hAnsi="仿宋" w:eastAsia="仿宋"/>
          <w:b/>
          <w:color w:val="auto"/>
          <w:highlight w:val="none"/>
        </w:rPr>
        <w:t>项目技术规格、数量及质量要求</w:t>
      </w:r>
      <w:bookmarkEnd w:id="7"/>
    </w:p>
    <w:tbl>
      <w:tblPr>
        <w:tblStyle w:val="57"/>
        <w:tblpPr w:leftFromText="180" w:rightFromText="180" w:vertAnchor="text" w:horzAnchor="page" w:tblpX="1379" w:tblpY="360"/>
        <w:tblOverlap w:val="never"/>
        <w:tblW w:w="10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1497"/>
        <w:gridCol w:w="2216"/>
        <w:gridCol w:w="480"/>
        <w:gridCol w:w="833"/>
        <w:gridCol w:w="593"/>
        <w:gridCol w:w="1486"/>
        <w:gridCol w:w="1740"/>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39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bookmarkStart w:id="8" w:name="_Toc16295"/>
            <w:r>
              <w:rPr>
                <w:rFonts w:hint="eastAsia" w:ascii="宋体" w:hAnsi="宋体" w:eastAsia="宋体" w:cs="宋体"/>
                <w:b/>
                <w:bCs/>
                <w:i w:val="0"/>
                <w:iCs w:val="0"/>
                <w:color w:val="000000"/>
                <w:kern w:val="0"/>
                <w:sz w:val="24"/>
                <w:szCs w:val="24"/>
                <w:u w:val="none"/>
                <w:lang w:val="en-US" w:eastAsia="zh-CN" w:bidi="ar"/>
              </w:rPr>
              <w:t>工程名称：南川区严家坝(华尔寺)水厂工程-厂外给水管网（补充材料）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  称</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 位</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招采限价（含税单价）（(税率13%）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招采合价（元）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Q235B外PE内环氧涂塑钢管（1.6Mpa)</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φ426*10mm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1128.33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1241163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Q235B外PE内环氧涂塑钢管（2.5Mpa)</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φ273*8mm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454.86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62770.68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DN900-(1.6Mpa）,13mm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5022.12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30132.72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DN900-(2.0Mpa）,16mm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5530.93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176989.76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DN900-(1.6Mpa）,13mm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9534.37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57206.22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DN900-(2.0Mpa）,16mm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10644.6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21289.2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DN800-(1.6Mpa）,12mm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3436.08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268014.24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DN800-(2.0Mpa）,14mm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3934.24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70816.32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DN800-(2.5Mpa）,16mm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4387.7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351016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DN800-(1.6Mpa）,12mm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6444.24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12888.48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DN800-(2.0Mpa）,14mm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7473.57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171892.11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DN800-(2.5Mpa）,16mm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8399.65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167993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DN700-(1.6Mpa）,11mm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2591.96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171069.36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DN700-(2.5Mpa）,13mm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2997.52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371692.48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DN700-(1.6Mpa）,11mm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4860.32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58323.84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DN700-(2.5Mpa）,13mm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5669.31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181417.92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DN400-(1.6Mpa）,10mm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958.01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5748.06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DN400-(1.6Mpa）,10mm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1711.65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3423.3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DN300-(2.5Mpa）,9mm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543.94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105524.36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DN300-(2.5Mpa）,9mm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533.29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25597.92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DN300-(2.0Mpa）,9mm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995.27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3981.08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DN300-(2.0Mpa）,9mm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1758.48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DN250-(2.5Mpa）,8mm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341.69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3758.59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DN250-(2.5Mpa）,8mm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7510.8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DN200-(1.6Mpa）,6mm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57418.2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DN200-(1.6Mpa）,6mm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DN900x100，PN16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DN900x100，PN20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6034.42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24137.68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DN900x250，PN16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5340.4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21361.6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DN900x250，PN20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6087.65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24350.6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DN800x80，PN16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3506.33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21037.98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DN800x80，PN20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4236.55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4236.55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DN800x80，PN25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4859.26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19437.04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DN800x250，PN16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3773.51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15094.04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DN800x250，PN20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4520.76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4520.76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DN800x250，PN25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5161.57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30969.42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DN700x80，PN16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DN700x80，PN25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3738.38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22430.28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DN700x250，PN16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10847.5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DN700x250，PN25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3934.24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27539.68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QB2-16C  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5398.38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QB2-25C  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2248.14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17985.12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1499.55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13495.95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2927.27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23418.16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QB2-16C  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2400.36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9601.44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QB2-20C  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2458.9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9835.6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3688.35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14753.4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3746.9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PE100给水管（1.6Mpa)</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253.33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15959.79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涡轮传动双偏心橡胶软密封法兰蝶阀D342X-16Q</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球墨铸铁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29623.92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148119.6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涡轮传动双偏心橡胶软密封法兰蝶阀D342X-16Q</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球墨铸铁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39810.8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159243.2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涡轮传动三偏心金属硬密封法兰蝶阀D343H-20C</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53334.77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213339.08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排泥阀（暗杆式齿轮传动弹性座封闸阀）Z545H-25C</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2259.32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24852.52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排泥阀（暗杆式齿轮传动弹性座封闸阀）Z545X-16Q</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球墨铸铁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2259.32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4518.64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排泥阀（暗杆式齿轮传动弹性座封闸阀）Z545H-20C</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2259.32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9037.28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10947.97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43791.88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15221.78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60887.12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9484.34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56906.04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13172.69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52690.76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7004.8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11591.97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92735.76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1334.83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10678.64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2150.21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17201.68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317.21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1268.84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154.35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285.28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3659.58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199.05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5573.4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945.36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351.27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303497.28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40cm宽DN800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332.11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402849.43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40cm宽DN700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239.94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299925</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29219.61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40cm宽DN300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197388.7</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2549.1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40cm宽DN200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2767</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83.03</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229744.01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416.3</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425.8</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1103.52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44.71</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536.52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2067.34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195.86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3917.2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4411.2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1.5米*1.5米 B125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2480.19</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19841.52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1.2米*1.2米 B125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1437.02</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30177.42</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φ800mm  D400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606.74</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21235.9</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φ800mm  B125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372.56</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22353.6</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钢带增强聚乙烯（PE）螺旋波纹管</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  SN8</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96.87</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116244</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97"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1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59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8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7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6656394.78 </w:t>
            </w:r>
          </w:p>
        </w:tc>
        <w:tc>
          <w:tcPr>
            <w:tcW w:w="101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9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备注：单价包含材料供应、保险、包装、运输、装车、保管；不包含材料卸车、搬运等费用。</w:t>
            </w:r>
          </w:p>
        </w:tc>
      </w:tr>
    </w:tbl>
    <w:p>
      <w:pPr>
        <w:rPr>
          <w:rFonts w:hint="eastAsia" w:ascii="仿宋" w:hAnsi="仿宋" w:eastAsia="仿宋"/>
          <w:b/>
          <w:color w:val="auto"/>
          <w:highlight w:val="none"/>
        </w:rPr>
      </w:pPr>
    </w:p>
    <w:p>
      <w:pPr>
        <w:pStyle w:val="2"/>
        <w:rPr>
          <w:rFonts w:hint="eastAsia"/>
        </w:rPr>
      </w:pPr>
    </w:p>
    <w:p>
      <w:pPr>
        <w:pStyle w:val="3"/>
        <w:spacing w:before="0" w:beforeLines="0" w:after="0" w:afterLines="0" w:line="360" w:lineRule="auto"/>
        <w:jc w:val="center"/>
        <w:rPr>
          <w:rFonts w:hint="eastAsia" w:ascii="仿宋" w:hAnsi="仿宋" w:eastAsia="仿宋"/>
          <w:b/>
          <w:color w:val="auto"/>
          <w:highlight w:val="none"/>
        </w:rPr>
      </w:pPr>
    </w:p>
    <w:p>
      <w:pPr>
        <w:rPr>
          <w:rFonts w:hint="eastAsia" w:ascii="仿宋" w:hAnsi="仿宋" w:eastAsia="仿宋"/>
          <w:b/>
          <w:color w:val="auto"/>
          <w:highlight w:val="none"/>
        </w:rPr>
      </w:pPr>
    </w:p>
    <w:p>
      <w:pPr>
        <w:pStyle w:val="2"/>
        <w:rPr>
          <w:rFonts w:hint="eastAsia" w:ascii="仿宋" w:hAnsi="仿宋" w:eastAsia="仿宋"/>
          <w:b/>
          <w:color w:val="auto"/>
          <w:highlight w:val="none"/>
        </w:rPr>
      </w:pPr>
    </w:p>
    <w:p>
      <w:pPr>
        <w:rPr>
          <w:rFonts w:hint="eastAsia" w:ascii="仿宋" w:hAnsi="仿宋" w:eastAsia="仿宋"/>
          <w:b/>
          <w:color w:val="auto"/>
          <w:highlight w:val="none"/>
        </w:rPr>
      </w:pPr>
    </w:p>
    <w:p>
      <w:pPr>
        <w:pStyle w:val="2"/>
        <w:rPr>
          <w:rFonts w:hint="eastAsia" w:ascii="仿宋" w:hAnsi="仿宋" w:eastAsia="仿宋"/>
          <w:b/>
          <w:color w:val="auto"/>
          <w:highlight w:val="none"/>
        </w:rPr>
      </w:pPr>
    </w:p>
    <w:p>
      <w:pPr>
        <w:rPr>
          <w:rFonts w:hint="eastAsia" w:ascii="仿宋" w:hAnsi="仿宋" w:eastAsia="仿宋"/>
          <w:b/>
          <w:color w:val="auto"/>
          <w:highlight w:val="none"/>
        </w:rPr>
      </w:pPr>
    </w:p>
    <w:p>
      <w:pPr>
        <w:pStyle w:val="2"/>
        <w:rPr>
          <w:rFonts w:hint="eastAsia" w:ascii="仿宋" w:hAnsi="仿宋" w:eastAsia="仿宋"/>
          <w:b/>
          <w:color w:val="auto"/>
          <w:highlight w:val="none"/>
        </w:rPr>
      </w:pPr>
    </w:p>
    <w:p>
      <w:pPr>
        <w:rPr>
          <w:rFonts w:hint="eastAsia" w:ascii="仿宋" w:hAnsi="仿宋" w:eastAsia="仿宋"/>
          <w:b/>
          <w:color w:val="auto"/>
          <w:highlight w:val="none"/>
        </w:rPr>
      </w:pPr>
    </w:p>
    <w:p>
      <w:pPr>
        <w:pStyle w:val="2"/>
        <w:rPr>
          <w:rFonts w:hint="eastAsia"/>
        </w:rPr>
      </w:pPr>
    </w:p>
    <w:p>
      <w:pPr>
        <w:rPr>
          <w:rFonts w:hint="eastAsia"/>
        </w:rPr>
      </w:pPr>
    </w:p>
    <w:p>
      <w:pPr>
        <w:pStyle w:val="2"/>
        <w:rPr>
          <w:rFonts w:hint="eastAsia"/>
        </w:rPr>
      </w:pPr>
    </w:p>
    <w:p>
      <w:pPr>
        <w:pStyle w:val="3"/>
        <w:spacing w:before="0" w:beforeLines="0" w:after="0" w:afterLines="0" w:line="360" w:lineRule="auto"/>
        <w:jc w:val="center"/>
        <w:rPr>
          <w:rFonts w:hint="eastAsia" w:ascii="仿宋" w:hAnsi="仿宋" w:eastAsia="仿宋"/>
          <w:b/>
          <w:color w:val="auto"/>
          <w:highlight w:val="none"/>
        </w:rPr>
      </w:pPr>
      <w:r>
        <w:rPr>
          <w:rFonts w:hint="eastAsia" w:ascii="仿宋" w:hAnsi="仿宋" w:eastAsia="仿宋"/>
          <w:b/>
          <w:color w:val="auto"/>
          <w:highlight w:val="none"/>
        </w:rPr>
        <w:t>第三篇  项目商务要求</w:t>
      </w:r>
      <w:bookmarkEnd w:id="8"/>
    </w:p>
    <w:p>
      <w:pPr>
        <w:pStyle w:val="4"/>
        <w:pageBreakBefore w:val="0"/>
        <w:widowControl w:val="0"/>
        <w:kinsoku/>
        <w:wordWrap/>
        <w:overflowPunct/>
        <w:topLinePunct w:val="0"/>
        <w:bidi w:val="0"/>
        <w:snapToGrid w:val="0"/>
        <w:spacing w:before="0" w:after="0" w:line="380" w:lineRule="exact"/>
        <w:textAlignment w:val="auto"/>
        <w:rPr>
          <w:rFonts w:hint="eastAsia" w:ascii="仿宋" w:hAnsi="仿宋" w:eastAsia="仿宋"/>
          <w:color w:val="auto"/>
          <w:sz w:val="24"/>
          <w:szCs w:val="24"/>
          <w:highlight w:val="none"/>
        </w:rPr>
      </w:pPr>
      <w:bookmarkStart w:id="9" w:name="_Toc267320049"/>
      <w:bookmarkStart w:id="10" w:name="_Toc19322"/>
      <w:r>
        <w:rPr>
          <w:rFonts w:hint="eastAsia" w:ascii="仿宋" w:hAnsi="仿宋" w:eastAsia="仿宋"/>
          <w:b/>
          <w:color w:val="auto"/>
          <w:sz w:val="24"/>
          <w:szCs w:val="24"/>
          <w:highlight w:val="none"/>
        </w:rPr>
        <w:t>一、</w:t>
      </w:r>
      <w:bookmarkEnd w:id="9"/>
      <w:bookmarkEnd w:id="10"/>
      <w:r>
        <w:rPr>
          <w:rFonts w:hint="eastAsia" w:ascii="仿宋" w:hAnsi="仿宋" w:eastAsia="仿宋"/>
          <w:color w:val="auto"/>
          <w:sz w:val="24"/>
          <w:szCs w:val="24"/>
          <w:highlight w:val="none"/>
        </w:rPr>
        <w:t>工程概况</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1.1 项目名称：</w:t>
      </w:r>
      <w:r>
        <w:rPr>
          <w:rFonts w:hint="eastAsia" w:ascii="仿宋" w:hAnsi="仿宋" w:eastAsia="仿宋" w:cs="Times New Roman"/>
          <w:color w:val="auto"/>
          <w:sz w:val="24"/>
          <w:szCs w:val="24"/>
          <w:highlight w:val="none"/>
          <w:lang w:eastAsia="zh-CN"/>
        </w:rPr>
        <w:t>南川区严家坝(华尔寺)水厂工程-厂外给水管网（补充材料）</w:t>
      </w:r>
    </w:p>
    <w:p>
      <w:pPr>
        <w:snapToGrid w:val="0"/>
        <w:spacing w:line="400" w:lineRule="exact"/>
        <w:ind w:firstLine="480" w:firstLineChars="200"/>
        <w:rPr>
          <w:rFonts w:hint="default" w:ascii="仿宋" w:hAnsi="仿宋" w:eastAsia="仿宋" w:cs="宋体"/>
          <w:color w:val="auto"/>
          <w:kern w:val="0"/>
          <w:sz w:val="24"/>
          <w:szCs w:val="24"/>
          <w:highlight w:val="none"/>
          <w:lang w:val="en-US" w:eastAsia="zh-CN"/>
        </w:rPr>
      </w:pPr>
      <w:r>
        <w:rPr>
          <w:rFonts w:hint="eastAsia" w:ascii="仿宋" w:hAnsi="仿宋" w:eastAsia="仿宋" w:cs="宋体"/>
          <w:color w:val="auto"/>
          <w:kern w:val="0"/>
          <w:sz w:val="24"/>
          <w:szCs w:val="24"/>
          <w:highlight w:val="none"/>
        </w:rPr>
        <w:t>1.2 实施地点：</w:t>
      </w:r>
      <w:r>
        <w:rPr>
          <w:rFonts w:hint="eastAsia" w:ascii="仿宋" w:hAnsi="仿宋" w:eastAsia="仿宋" w:cs="仿宋"/>
          <w:sz w:val="24"/>
          <w:szCs w:val="24"/>
          <w:u w:val="none"/>
          <w:lang w:val="en-US" w:eastAsia="zh-CN"/>
        </w:rPr>
        <w:t>南川区南城街道文华居委三组</w:t>
      </w:r>
      <w:r>
        <w:rPr>
          <w:rFonts w:hint="eastAsia" w:ascii="仿宋" w:hAnsi="仿宋" w:eastAsia="仿宋" w:cs="宋体"/>
          <w:color w:val="auto"/>
          <w:kern w:val="0"/>
          <w:sz w:val="24"/>
          <w:szCs w:val="24"/>
          <w:highlight w:val="none"/>
          <w:lang w:val="en-US" w:eastAsia="zh-CN"/>
        </w:rPr>
        <w:t xml:space="preserve">  </w:t>
      </w:r>
    </w:p>
    <w:p>
      <w:pPr>
        <w:snapToGrid w:val="0"/>
        <w:spacing w:line="400" w:lineRule="exact"/>
        <w:ind w:firstLine="480" w:firstLineChars="200"/>
        <w:rPr>
          <w:rFonts w:hint="eastAsia" w:ascii="仿宋" w:hAnsi="仿宋" w:eastAsia="仿宋" w:cs="宋体"/>
          <w:color w:val="auto"/>
          <w:kern w:val="0"/>
          <w:sz w:val="24"/>
          <w:szCs w:val="24"/>
          <w:highlight w:val="none"/>
          <w:lang w:val="en-US" w:eastAsia="zh-CN"/>
        </w:rPr>
      </w:pPr>
      <w:r>
        <w:rPr>
          <w:rFonts w:hint="eastAsia" w:ascii="仿宋" w:hAnsi="仿宋" w:eastAsia="仿宋" w:cs="宋体"/>
          <w:color w:val="auto"/>
          <w:kern w:val="0"/>
          <w:sz w:val="24"/>
          <w:szCs w:val="24"/>
          <w:highlight w:val="none"/>
        </w:rPr>
        <w:t xml:space="preserve">1.3 </w:t>
      </w:r>
      <w:r>
        <w:rPr>
          <w:rFonts w:hint="eastAsia" w:ascii="仿宋" w:hAnsi="仿宋" w:eastAsia="仿宋" w:cs="宋体"/>
          <w:color w:val="auto"/>
          <w:kern w:val="0"/>
          <w:sz w:val="24"/>
          <w:szCs w:val="24"/>
          <w:highlight w:val="none"/>
          <w:lang w:val="en-US" w:eastAsia="zh-CN"/>
        </w:rPr>
        <w:t>采购内容：具体详见招标文件第二篇。</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1.4质量标准：</w:t>
      </w:r>
      <w:r>
        <w:rPr>
          <w:rFonts w:hint="eastAsia" w:ascii="仿宋" w:hAnsi="仿宋" w:eastAsia="仿宋" w:cs="宋体"/>
          <w:color w:val="auto"/>
          <w:kern w:val="0"/>
          <w:sz w:val="24"/>
          <w:szCs w:val="24"/>
          <w:highlight w:val="none"/>
          <w:lang w:val="en-US" w:eastAsia="zh-CN"/>
        </w:rPr>
        <w:t>合格（达到国家质量技术标准）。</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1.5交货期：根据工程进度需要，采购方每次按</w:t>
      </w:r>
      <w:r>
        <w:rPr>
          <w:rFonts w:hint="eastAsia" w:ascii="仿宋" w:hAnsi="仿宋" w:eastAsia="仿宋" w:cs="宋体"/>
          <w:color w:val="auto"/>
          <w:kern w:val="0"/>
          <w:sz w:val="24"/>
          <w:szCs w:val="24"/>
          <w:highlight w:val="none"/>
          <w:lang w:eastAsia="zh-CN"/>
        </w:rPr>
        <w:t>合同约定</w:t>
      </w:r>
      <w:r>
        <w:rPr>
          <w:rFonts w:hint="eastAsia" w:ascii="仿宋" w:hAnsi="仿宋" w:eastAsia="仿宋" w:cs="宋体"/>
          <w:color w:val="auto"/>
          <w:kern w:val="0"/>
          <w:sz w:val="24"/>
          <w:szCs w:val="24"/>
          <w:highlight w:val="none"/>
        </w:rPr>
        <w:t>时间提出供应材料计划,供应方须在收到采购方的供货通知后</w:t>
      </w:r>
      <w:r>
        <w:rPr>
          <w:rFonts w:hint="eastAsia" w:ascii="仿宋" w:hAnsi="仿宋" w:eastAsia="仿宋" w:cs="宋体"/>
          <w:color w:val="auto"/>
          <w:kern w:val="0"/>
          <w:sz w:val="24"/>
          <w:szCs w:val="24"/>
          <w:highlight w:val="none"/>
          <w:lang w:val="en-US" w:eastAsia="zh-CN"/>
        </w:rPr>
        <w:t>7日历天</w:t>
      </w:r>
      <w:r>
        <w:rPr>
          <w:rFonts w:hint="eastAsia" w:ascii="仿宋" w:hAnsi="仿宋" w:eastAsia="仿宋" w:cs="宋体"/>
          <w:color w:val="auto"/>
          <w:kern w:val="0"/>
          <w:sz w:val="24"/>
          <w:szCs w:val="24"/>
          <w:highlight w:val="none"/>
        </w:rPr>
        <w:t>内供应到施工现场。</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1</w:t>
      </w:r>
      <w:r>
        <w:rPr>
          <w:rFonts w:hint="eastAsia"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lang w:val="en-US" w:eastAsia="zh-CN"/>
        </w:rPr>
        <w:t>6验收</w:t>
      </w:r>
      <w:r>
        <w:rPr>
          <w:rFonts w:hint="eastAsia" w:ascii="仿宋" w:hAnsi="仿宋" w:eastAsia="仿宋" w:cs="宋体"/>
          <w:color w:val="auto"/>
          <w:kern w:val="0"/>
          <w:sz w:val="24"/>
          <w:szCs w:val="24"/>
          <w:highlight w:val="none"/>
        </w:rPr>
        <w:t>方式</w:t>
      </w:r>
    </w:p>
    <w:p>
      <w:pPr>
        <w:spacing w:line="440" w:lineRule="exact"/>
        <w:ind w:firstLine="480" w:firstLineChars="200"/>
        <w:jc w:val="left"/>
        <w:rPr>
          <w:rFonts w:hint="eastAsia" w:ascii="仿宋" w:hAnsi="仿宋" w:eastAsia="仿宋" w:cs="宋体"/>
          <w:color w:val="auto"/>
          <w:kern w:val="0"/>
          <w:sz w:val="24"/>
          <w:szCs w:val="24"/>
          <w:highlight w:val="none"/>
        </w:rPr>
      </w:pPr>
      <w:bookmarkStart w:id="11" w:name="_Toc267320050"/>
      <w:r>
        <w:rPr>
          <w:rFonts w:hint="eastAsia" w:ascii="仿宋" w:hAnsi="仿宋" w:eastAsia="仿宋" w:cs="宋体"/>
          <w:color w:val="auto"/>
          <w:kern w:val="0"/>
          <w:sz w:val="24"/>
          <w:szCs w:val="24"/>
          <w:highlight w:val="none"/>
        </w:rPr>
        <w:t>（1）严格按招标文件要求进行验收，供应商提供的货物未达到招标文件规定要求，且对采购人造成损失的，由供应商承担一切责任，并赔偿所造成的损失。</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（2）货物到达现场后，中标人应在使用单位人员在场情况下当面开箱，共同清点、检查外观，作</w:t>
      </w:r>
      <w:r>
        <w:rPr>
          <w:rFonts w:hint="eastAsia" w:ascii="仿宋" w:hAnsi="仿宋" w:eastAsia="仿宋" w:cs="宋体"/>
          <w:color w:val="auto"/>
          <w:kern w:val="0"/>
          <w:sz w:val="24"/>
          <w:szCs w:val="24"/>
          <w:highlight w:val="none"/>
          <w:lang w:val="en-US" w:eastAsia="zh-CN"/>
        </w:rPr>
        <w:t>好</w:t>
      </w:r>
      <w:r>
        <w:rPr>
          <w:rFonts w:hint="eastAsia" w:ascii="仿宋" w:hAnsi="仿宋" w:eastAsia="仿宋" w:cs="宋体"/>
          <w:color w:val="auto"/>
          <w:kern w:val="0"/>
          <w:sz w:val="24"/>
          <w:szCs w:val="24"/>
          <w:highlight w:val="none"/>
        </w:rPr>
        <w:t>开箱记录，双方签字确认。</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（3）中标人应保证货物到达采购人所在地完好无损，如有缺漏、损坏，由供应商负责调换、补齐或赔偿。</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（4）中标人应提供完备的技术资料、装箱单和合格证等</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（5）供应商提供的货物未达到招标文件规定要求，且对采购人造成损失的，由供应商承担一切责任，并赔偿所造成的损失。</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lang w:val="en-US" w:eastAsia="zh-CN"/>
        </w:rPr>
        <w:t>6</w:t>
      </w:r>
      <w:r>
        <w:rPr>
          <w:rFonts w:hint="eastAsia" w:ascii="仿宋" w:hAnsi="仿宋" w:eastAsia="仿宋" w:cs="宋体"/>
          <w:color w:val="auto"/>
          <w:kern w:val="0"/>
          <w:sz w:val="24"/>
          <w:szCs w:val="24"/>
          <w:highlight w:val="none"/>
        </w:rPr>
        <w:t>）采购人需要供应商对中标人交付的产品（包括质量、技术参数等）进行确认的，供应商应予以配合，并出具书面意见。</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w:t>
      </w:r>
      <w:r>
        <w:rPr>
          <w:rFonts w:hint="eastAsia" w:ascii="仿宋" w:hAnsi="仿宋" w:eastAsia="仿宋" w:cs="宋体"/>
          <w:color w:val="auto"/>
          <w:kern w:val="0"/>
          <w:sz w:val="24"/>
          <w:szCs w:val="24"/>
          <w:highlight w:val="none"/>
          <w:lang w:val="en-US" w:eastAsia="zh-CN"/>
        </w:rPr>
        <w:t>7</w:t>
      </w:r>
      <w:r>
        <w:rPr>
          <w:rFonts w:hint="eastAsia" w:ascii="仿宋" w:hAnsi="仿宋" w:eastAsia="仿宋" w:cs="宋体"/>
          <w:color w:val="auto"/>
          <w:kern w:val="0"/>
          <w:sz w:val="24"/>
          <w:szCs w:val="24"/>
          <w:highlight w:val="none"/>
        </w:rPr>
        <w:t>）产品包装材料归采购人所有。</w:t>
      </w:r>
    </w:p>
    <w:p>
      <w:pPr>
        <w:pStyle w:val="4"/>
        <w:spacing w:line="500" w:lineRule="exact"/>
        <w:ind w:firstLine="482" w:firstLineChars="200"/>
        <w:rPr>
          <w:rFonts w:hint="eastAsia" w:ascii="仿宋" w:hAnsi="仿宋" w:eastAsia="仿宋"/>
          <w:b/>
          <w:color w:val="auto"/>
          <w:sz w:val="24"/>
          <w:szCs w:val="24"/>
          <w:highlight w:val="none"/>
          <w:lang w:eastAsia="zh-CN"/>
        </w:rPr>
      </w:pPr>
      <w:bookmarkStart w:id="12" w:name="_Toc12384"/>
      <w:r>
        <w:rPr>
          <w:rFonts w:hint="eastAsia" w:ascii="仿宋" w:hAnsi="仿宋" w:eastAsia="仿宋"/>
          <w:b/>
          <w:color w:val="auto"/>
          <w:sz w:val="24"/>
          <w:szCs w:val="24"/>
          <w:highlight w:val="none"/>
          <w:lang w:eastAsia="zh-CN"/>
        </w:rPr>
        <w:t>二、报价要求</w:t>
      </w:r>
      <w:bookmarkEnd w:id="12"/>
    </w:p>
    <w:p>
      <w:pPr>
        <w:spacing w:line="340" w:lineRule="exact"/>
        <w:ind w:firstLine="480" w:firstLineChars="200"/>
        <w:rPr>
          <w:rFonts w:ascii="仿宋" w:hAnsi="仿宋" w:eastAsia="仿宋" w:cs="仿宋"/>
          <w:snapToGrid w:val="0"/>
          <w:color w:val="auto"/>
          <w:kern w:val="0"/>
          <w:sz w:val="24"/>
          <w:highlight w:val="none"/>
        </w:rPr>
      </w:pPr>
      <w:r>
        <w:rPr>
          <w:rFonts w:ascii="仿宋" w:hAnsi="仿宋" w:eastAsia="仿宋" w:cs="仿宋"/>
          <w:snapToGrid w:val="0"/>
          <w:color w:val="auto"/>
          <w:kern w:val="0"/>
          <w:sz w:val="24"/>
          <w:highlight w:val="none"/>
        </w:rPr>
        <w:t>固定单价</w:t>
      </w:r>
      <w:r>
        <w:rPr>
          <w:rFonts w:hint="eastAsia" w:ascii="仿宋" w:hAnsi="仿宋" w:eastAsia="仿宋" w:cs="仿宋"/>
          <w:snapToGrid w:val="0"/>
          <w:color w:val="auto"/>
          <w:kern w:val="0"/>
          <w:sz w:val="24"/>
          <w:highlight w:val="none"/>
        </w:rPr>
        <w:t>报价</w:t>
      </w:r>
      <w:r>
        <w:rPr>
          <w:rFonts w:ascii="仿宋" w:hAnsi="仿宋" w:eastAsia="仿宋" w:cs="仿宋"/>
          <w:snapToGrid w:val="0"/>
          <w:color w:val="auto"/>
          <w:kern w:val="0"/>
          <w:sz w:val="24"/>
          <w:highlight w:val="none"/>
        </w:rPr>
        <w:t>，投标人按</w:t>
      </w:r>
      <w:r>
        <w:rPr>
          <w:rFonts w:hint="eastAsia" w:ascii="仿宋" w:hAnsi="仿宋" w:eastAsia="仿宋" w:cs="仿宋"/>
          <w:snapToGrid w:val="0"/>
          <w:color w:val="auto"/>
          <w:kern w:val="0"/>
          <w:sz w:val="24"/>
          <w:highlight w:val="none"/>
        </w:rPr>
        <w:t>分</w:t>
      </w:r>
      <w:r>
        <w:rPr>
          <w:rFonts w:ascii="仿宋" w:hAnsi="仿宋" w:eastAsia="仿宋" w:cs="仿宋"/>
          <w:snapToGrid w:val="0"/>
          <w:color w:val="auto"/>
          <w:kern w:val="0"/>
          <w:sz w:val="24"/>
          <w:highlight w:val="none"/>
        </w:rPr>
        <w:t>项报价</w:t>
      </w:r>
      <w:r>
        <w:rPr>
          <w:rFonts w:hint="eastAsia" w:ascii="仿宋" w:hAnsi="仿宋" w:eastAsia="仿宋" w:cs="仿宋"/>
          <w:snapToGrid w:val="0"/>
          <w:color w:val="auto"/>
          <w:kern w:val="0"/>
          <w:sz w:val="24"/>
          <w:highlight w:val="none"/>
        </w:rPr>
        <w:t>明细</w:t>
      </w:r>
      <w:r>
        <w:rPr>
          <w:rFonts w:ascii="仿宋" w:hAnsi="仿宋" w:eastAsia="仿宋" w:cs="仿宋"/>
          <w:snapToGrid w:val="0"/>
          <w:color w:val="auto"/>
          <w:kern w:val="0"/>
          <w:sz w:val="24"/>
          <w:highlight w:val="none"/>
        </w:rPr>
        <w:t>表规定格式自主报价。投标人在投标截止时间前修改</w:t>
      </w:r>
      <w:r>
        <w:rPr>
          <w:rFonts w:hint="eastAsia" w:ascii="仿宋" w:hAnsi="仿宋" w:eastAsia="仿宋" w:cs="仿宋"/>
          <w:snapToGrid w:val="0"/>
          <w:color w:val="auto"/>
          <w:kern w:val="0"/>
          <w:sz w:val="24"/>
          <w:highlight w:val="none"/>
        </w:rPr>
        <w:t>开标一览表</w:t>
      </w:r>
      <w:r>
        <w:rPr>
          <w:rFonts w:ascii="仿宋" w:hAnsi="仿宋" w:eastAsia="仿宋" w:cs="仿宋"/>
          <w:snapToGrid w:val="0"/>
          <w:color w:val="auto"/>
          <w:kern w:val="0"/>
          <w:sz w:val="24"/>
          <w:highlight w:val="none"/>
        </w:rPr>
        <w:t>中的投</w:t>
      </w:r>
      <w:r>
        <w:rPr>
          <w:rFonts w:ascii="仿宋" w:hAnsi="仿宋" w:eastAsia="仿宋" w:cs="仿宋"/>
          <w:color w:val="auto"/>
          <w:sz w:val="24"/>
          <w:highlight w:val="none"/>
        </w:rPr>
        <w:t>标报价，应同时修改</w:t>
      </w:r>
      <w:r>
        <w:rPr>
          <w:rFonts w:hint="eastAsia" w:ascii="仿宋" w:hAnsi="仿宋" w:eastAsia="仿宋" w:cs="仿宋"/>
          <w:color w:val="auto"/>
          <w:sz w:val="24"/>
          <w:highlight w:val="none"/>
        </w:rPr>
        <w:t xml:space="preserve"> “分项报价明细表”</w:t>
      </w:r>
      <w:r>
        <w:rPr>
          <w:rFonts w:ascii="仿宋" w:hAnsi="仿宋" w:eastAsia="仿宋" w:cs="仿宋"/>
          <w:color w:val="auto"/>
          <w:sz w:val="24"/>
          <w:highlight w:val="none"/>
        </w:rPr>
        <w:t>中的相应报价</w:t>
      </w:r>
      <w:r>
        <w:rPr>
          <w:rFonts w:hint="eastAsia" w:ascii="仿宋" w:hAnsi="仿宋" w:eastAsia="仿宋" w:cs="仿宋"/>
          <w:color w:val="auto"/>
          <w:sz w:val="24"/>
          <w:highlight w:val="none"/>
          <w:lang w:eastAsia="zh-CN"/>
        </w:rPr>
        <w:t>，</w:t>
      </w:r>
      <w:r>
        <w:rPr>
          <w:rFonts w:ascii="仿宋" w:hAnsi="仿宋" w:eastAsia="仿宋" w:cs="仿宋"/>
          <w:color w:val="auto"/>
          <w:sz w:val="24"/>
          <w:highlight w:val="none"/>
        </w:rPr>
        <w:t>投标报价为各分项报价金额之和</w:t>
      </w:r>
      <w:r>
        <w:rPr>
          <w:rFonts w:hint="eastAsia" w:ascii="仿宋" w:hAnsi="仿宋" w:eastAsia="仿宋" w:cs="仿宋"/>
          <w:color w:val="auto"/>
          <w:sz w:val="24"/>
          <w:highlight w:val="none"/>
          <w:lang w:eastAsia="zh-CN"/>
        </w:rPr>
        <w:t>。</w:t>
      </w:r>
      <w:r>
        <w:rPr>
          <w:rFonts w:ascii="仿宋" w:hAnsi="仿宋" w:eastAsia="仿宋" w:cs="仿宋"/>
          <w:color w:val="auto"/>
          <w:sz w:val="24"/>
          <w:highlight w:val="none"/>
        </w:rPr>
        <w:t>如分项报价中存在缺漏项，则视为缺漏项价格已包含在其他分项报价之中。</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投标人应充分了解该项目的总体情况以及影响投标报价的其他要素，结合自身实力、市场行情自主合理报价。投标报价满足招标文件要求的产品运至施工现场招标人指定地点的含税全费用综合单价，应包含了产品的出厂价（含所有规费等）、运杂费（含包装、装车费、车辆通行费和运输至施工现场指定地点）、风险费、保险（交货验收前）、各种检测及检验、成品和半成品保护、各种税费、所有检测、验收、办理中标产品所需要的各种许可证、提供中标产品所需的各种检测报告（自检及第三方检测）、各种规费、经验收合格且交付给招标人正常使用的所有费用，以及合同明示或暗示的所有责任、义务和一般风险。</w:t>
      </w:r>
    </w:p>
    <w:bookmarkEnd w:id="11"/>
    <w:p>
      <w:pPr>
        <w:pStyle w:val="4"/>
        <w:spacing w:line="500" w:lineRule="exact"/>
        <w:ind w:firstLine="482" w:firstLineChars="200"/>
        <w:rPr>
          <w:rFonts w:hint="eastAsia" w:ascii="仿宋" w:hAnsi="仿宋" w:eastAsia="仿宋"/>
          <w:b/>
          <w:color w:val="auto"/>
          <w:sz w:val="24"/>
          <w:szCs w:val="24"/>
          <w:highlight w:val="none"/>
          <w:lang w:eastAsia="zh-CN"/>
        </w:rPr>
      </w:pPr>
      <w:bookmarkStart w:id="13" w:name="_Toc267320051"/>
      <w:bookmarkStart w:id="14" w:name="_Toc21482"/>
      <w:r>
        <w:rPr>
          <w:rFonts w:hint="eastAsia" w:ascii="仿宋" w:hAnsi="仿宋" w:eastAsia="仿宋"/>
          <w:b/>
          <w:color w:val="auto"/>
          <w:sz w:val="24"/>
          <w:szCs w:val="24"/>
          <w:highlight w:val="none"/>
          <w:lang w:val="en-US" w:eastAsia="zh-CN"/>
        </w:rPr>
        <w:t>三</w:t>
      </w:r>
      <w:r>
        <w:rPr>
          <w:rFonts w:hint="eastAsia" w:ascii="仿宋" w:hAnsi="仿宋" w:eastAsia="仿宋"/>
          <w:b/>
          <w:color w:val="auto"/>
          <w:sz w:val="24"/>
          <w:szCs w:val="24"/>
          <w:highlight w:val="none"/>
        </w:rPr>
        <w:t>、付款方</w:t>
      </w:r>
      <w:r>
        <w:rPr>
          <w:rFonts w:hint="eastAsia" w:ascii="仿宋" w:hAnsi="仿宋" w:eastAsia="仿宋" w:cs="Times New Roman"/>
          <w:b/>
          <w:color w:val="auto"/>
          <w:sz w:val="24"/>
          <w:szCs w:val="24"/>
          <w:highlight w:val="none"/>
        </w:rPr>
        <w:t>式</w:t>
      </w:r>
      <w:bookmarkEnd w:id="13"/>
      <w:bookmarkEnd w:id="14"/>
      <w:r>
        <w:rPr>
          <w:rFonts w:hint="eastAsia" w:ascii="仿宋" w:hAnsi="仿宋" w:eastAsia="仿宋" w:cs="Times New Roman"/>
          <w:b/>
          <w:color w:val="auto"/>
          <w:sz w:val="24"/>
          <w:szCs w:val="24"/>
          <w:highlight w:val="none"/>
        </w:rPr>
        <w:t>及结算方式</w:t>
      </w:r>
    </w:p>
    <w:p>
      <w:pPr>
        <w:pStyle w:val="4"/>
        <w:spacing w:line="400" w:lineRule="exact"/>
        <w:ind w:firstLine="480" w:firstLineChars="200"/>
        <w:rPr>
          <w:rFonts w:hint="eastAsia" w:ascii="仿宋" w:hAnsi="仿宋" w:eastAsia="仿宋" w:cs="仿宋"/>
          <w:color w:val="auto"/>
          <w:kern w:val="0"/>
          <w:sz w:val="24"/>
          <w:szCs w:val="24"/>
          <w:highlight w:val="none"/>
          <w:lang w:val="en-US" w:eastAsia="zh-CN"/>
        </w:rPr>
      </w:pPr>
      <w:bookmarkStart w:id="15" w:name="_Toc15827"/>
      <w:bookmarkStart w:id="16" w:name="_Toc267320052"/>
      <w:r>
        <w:rPr>
          <w:rFonts w:hint="eastAsia" w:ascii="仿宋" w:hAnsi="仿宋" w:eastAsia="仿宋" w:cs="宋体"/>
          <w:color w:val="auto"/>
          <w:kern w:val="0"/>
          <w:sz w:val="24"/>
          <w:szCs w:val="24"/>
          <w:highlight w:val="none"/>
          <w:lang w:val="en-US" w:eastAsia="zh-CN"/>
        </w:rPr>
        <w:t>3.1结算及支付方法：货物交付验收合格后每月25日前甲乙双方办理对账结算手续，截止当月25日的全部款项，乙方向甲方提供增值税发票后，甲方于次月20日内向乙方支付至上月结算金额的100%</w:t>
      </w:r>
      <w:r>
        <w:rPr>
          <w:rFonts w:hint="eastAsia" w:ascii="仿宋" w:hAnsi="仿宋" w:eastAsia="仿宋" w:cs="仿宋"/>
          <w:color w:val="auto"/>
          <w:sz w:val="24"/>
          <w:szCs w:val="24"/>
          <w:highlight w:val="none"/>
        </w:rPr>
        <w:t>。</w:t>
      </w:r>
    </w:p>
    <w:p>
      <w:pPr>
        <w:pStyle w:val="4"/>
        <w:spacing w:line="400" w:lineRule="exact"/>
        <w:ind w:firstLine="480" w:firstLineChars="200"/>
        <w:rPr>
          <w:rFonts w:hint="default"/>
          <w:color w:val="FF0000"/>
          <w:highlight w:val="none"/>
          <w:lang w:val="en-US" w:eastAsia="zh-CN"/>
        </w:rPr>
      </w:pPr>
      <w:r>
        <w:rPr>
          <w:rFonts w:hint="eastAsia" w:ascii="仿宋" w:hAnsi="仿宋" w:eastAsia="仿宋" w:cs="宋体"/>
          <w:color w:val="auto"/>
          <w:kern w:val="0"/>
          <w:sz w:val="24"/>
          <w:szCs w:val="24"/>
          <w:highlight w:val="none"/>
          <w:lang w:val="en-US" w:eastAsia="zh-CN"/>
        </w:rPr>
        <w:t>3.2 结算方式：本合同为固定单价合同，数量据实结算。</w:t>
      </w:r>
    </w:p>
    <w:p>
      <w:pPr>
        <w:pStyle w:val="4"/>
        <w:spacing w:line="40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lang w:val="en-US" w:eastAsia="zh-CN"/>
        </w:rPr>
        <w:t>四</w:t>
      </w:r>
      <w:r>
        <w:rPr>
          <w:rFonts w:hint="eastAsia" w:ascii="仿宋" w:hAnsi="仿宋" w:eastAsia="仿宋"/>
          <w:b/>
          <w:color w:val="auto"/>
          <w:sz w:val="24"/>
          <w:szCs w:val="24"/>
          <w:highlight w:val="none"/>
        </w:rPr>
        <w:t>、知识产权</w:t>
      </w:r>
      <w:bookmarkEnd w:id="15"/>
      <w:bookmarkEnd w:id="16"/>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采购人在中华人民共和国境内使用投标人提供的货物及服务时免受第三方提出的侵犯其专利权或其它知识产权的起诉。如果第三方提出侵权指控，中标人应承担由此而引起的一切法律责任和费用。</w:t>
      </w:r>
      <w:bookmarkStart w:id="17" w:name="_Toc16976"/>
    </w:p>
    <w:bookmarkEnd w:id="17"/>
    <w:p>
      <w:pPr>
        <w:bidi w:val="0"/>
        <w:ind w:firstLine="482" w:firstLineChars="200"/>
        <w:rPr>
          <w:rFonts w:hint="eastAsia" w:ascii="仿宋" w:hAnsi="仿宋" w:eastAsia="仿宋" w:cs="Times New Roman"/>
          <w:b/>
          <w:color w:val="auto"/>
          <w:kern w:val="2"/>
          <w:sz w:val="24"/>
          <w:szCs w:val="24"/>
          <w:highlight w:val="none"/>
          <w:lang w:val="en-US" w:eastAsia="zh-CN" w:bidi="ar-SA"/>
        </w:rPr>
      </w:pPr>
      <w:bookmarkStart w:id="18" w:name="_Toc29753"/>
      <w:r>
        <w:rPr>
          <w:rFonts w:hint="eastAsia" w:ascii="仿宋" w:hAnsi="仿宋" w:eastAsia="仿宋" w:cs="Times New Roman"/>
          <w:b/>
          <w:color w:val="auto"/>
          <w:kern w:val="2"/>
          <w:sz w:val="24"/>
          <w:szCs w:val="24"/>
          <w:highlight w:val="none"/>
          <w:lang w:val="en-US" w:eastAsia="zh-CN" w:bidi="ar-SA"/>
        </w:rPr>
        <w:t>五、附件、图纸及包装要求</w:t>
      </w:r>
    </w:p>
    <w:p>
      <w:pPr>
        <w:pStyle w:val="3"/>
        <w:spacing w:before="0" w:beforeLines="0" w:after="0" w:afterLines="0" w:line="360" w:lineRule="auto"/>
        <w:ind w:firstLine="560" w:firstLineChars="200"/>
        <w:jc w:val="both"/>
        <w:rPr>
          <w:rFonts w:hint="eastAsia"/>
        </w:rPr>
      </w:pPr>
      <w:r>
        <w:rPr>
          <w:rFonts w:ascii="仿宋" w:hAnsi="仿宋" w:eastAsia="仿宋"/>
          <w:color w:val="auto"/>
          <w:sz w:val="28"/>
          <w:highlight w:val="none"/>
        </w:rPr>
        <w:br w:type="page"/>
      </w:r>
      <w:r>
        <w:rPr>
          <w:rFonts w:hint="eastAsia" w:ascii="仿宋" w:hAnsi="仿宋" w:eastAsia="仿宋"/>
          <w:color w:val="auto"/>
          <w:sz w:val="28"/>
          <w:highlight w:val="none"/>
        </w:rPr>
        <w:t xml:space="preserve">          </w:t>
      </w:r>
      <w:r>
        <w:rPr>
          <w:rFonts w:hint="eastAsia"/>
        </w:rPr>
        <w:t>第四篇  资格审查及评标办法</w:t>
      </w:r>
      <w:bookmarkEnd w:id="18"/>
    </w:p>
    <w:p>
      <w:pPr>
        <w:pStyle w:val="4"/>
        <w:spacing w:line="400" w:lineRule="exact"/>
        <w:ind w:firstLine="482" w:firstLineChars="200"/>
        <w:rPr>
          <w:rFonts w:hint="eastAsia" w:ascii="仿宋" w:hAnsi="仿宋" w:eastAsia="仿宋"/>
          <w:b/>
          <w:color w:val="auto"/>
          <w:sz w:val="24"/>
          <w:szCs w:val="24"/>
          <w:highlight w:val="none"/>
          <w:lang w:eastAsia="zh-CN"/>
        </w:rPr>
      </w:pPr>
      <w:bookmarkStart w:id="19" w:name="_Toc30970"/>
      <w:bookmarkStart w:id="20" w:name="_Toc492721015"/>
      <w:r>
        <w:rPr>
          <w:rFonts w:hint="eastAsia" w:ascii="仿宋" w:hAnsi="仿宋" w:eastAsia="仿宋"/>
          <w:b/>
          <w:color w:val="auto"/>
          <w:sz w:val="24"/>
          <w:szCs w:val="24"/>
          <w:highlight w:val="none"/>
        </w:rPr>
        <w:t>一、资格审查</w:t>
      </w:r>
      <w:bookmarkEnd w:id="19"/>
      <w:bookmarkEnd w:id="20"/>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依据政府采购相关法律法规规定,由采购人或采购代理机构对投标文件中的资格证明文件进行审查。资格审查资料表如下：</w:t>
      </w:r>
    </w:p>
    <w:p>
      <w:pPr>
        <w:pStyle w:val="67"/>
        <w:rPr>
          <w:rFonts w:hint="eastAsia"/>
          <w:color w:val="auto"/>
          <w:highlight w:val="none"/>
        </w:rPr>
      </w:pP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3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vAlign w:val="center"/>
          </w:tcPr>
          <w:p>
            <w:pPr>
              <w:spacing w:line="240" w:lineRule="exact"/>
              <w:jc w:val="center"/>
              <w:rPr>
                <w:rFonts w:hint="eastAsia" w:ascii="仿宋" w:hAnsi="仿宋" w:eastAsia="仿宋" w:cs="宋体"/>
                <w:b/>
                <w:color w:val="auto"/>
                <w:kern w:val="0"/>
                <w:sz w:val="21"/>
                <w:szCs w:val="21"/>
                <w:highlight w:val="none"/>
              </w:rPr>
            </w:pPr>
            <w:r>
              <w:rPr>
                <w:rFonts w:hint="eastAsia" w:ascii="仿宋" w:hAnsi="仿宋" w:eastAsia="仿宋" w:cs="宋体"/>
                <w:b/>
                <w:color w:val="auto"/>
                <w:kern w:val="0"/>
                <w:sz w:val="21"/>
                <w:szCs w:val="21"/>
                <w:highlight w:val="none"/>
              </w:rPr>
              <w:t>序号</w:t>
            </w:r>
          </w:p>
        </w:tc>
        <w:tc>
          <w:tcPr>
            <w:tcW w:w="5102" w:type="dxa"/>
            <w:gridSpan w:val="2"/>
            <w:vAlign w:val="center"/>
          </w:tcPr>
          <w:p>
            <w:pPr>
              <w:spacing w:line="240" w:lineRule="exact"/>
              <w:jc w:val="center"/>
              <w:rPr>
                <w:rFonts w:hint="eastAsia" w:ascii="仿宋" w:hAnsi="仿宋" w:eastAsia="仿宋" w:cs="宋体"/>
                <w:b/>
                <w:color w:val="auto"/>
                <w:kern w:val="0"/>
                <w:sz w:val="21"/>
                <w:szCs w:val="21"/>
                <w:highlight w:val="none"/>
              </w:rPr>
            </w:pPr>
            <w:r>
              <w:rPr>
                <w:rFonts w:hint="eastAsia" w:ascii="仿宋" w:hAnsi="仿宋" w:eastAsia="仿宋" w:cs="宋体"/>
                <w:b/>
                <w:color w:val="auto"/>
                <w:kern w:val="0"/>
                <w:sz w:val="21"/>
                <w:szCs w:val="21"/>
                <w:highlight w:val="none"/>
              </w:rPr>
              <w:t>检查因素</w:t>
            </w:r>
          </w:p>
        </w:tc>
        <w:tc>
          <w:tcPr>
            <w:tcW w:w="3850" w:type="dxa"/>
            <w:vAlign w:val="center"/>
          </w:tcPr>
          <w:p>
            <w:pPr>
              <w:spacing w:line="240" w:lineRule="exact"/>
              <w:jc w:val="center"/>
              <w:rPr>
                <w:rFonts w:hint="eastAsia" w:ascii="仿宋" w:hAnsi="仿宋" w:eastAsia="仿宋" w:cs="宋体"/>
                <w:b/>
                <w:color w:val="auto"/>
                <w:kern w:val="0"/>
                <w:sz w:val="21"/>
                <w:szCs w:val="21"/>
                <w:highlight w:val="none"/>
              </w:rPr>
            </w:pPr>
            <w:r>
              <w:rPr>
                <w:rFonts w:hint="eastAsia" w:ascii="仿宋" w:hAnsi="仿宋" w:eastAsia="仿宋"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676" w:type="dxa"/>
            <w:vMerge w:val="restart"/>
            <w:vAlign w:val="center"/>
          </w:tcPr>
          <w:p>
            <w:pPr>
              <w:spacing w:line="24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w:t>
            </w:r>
          </w:p>
        </w:tc>
        <w:tc>
          <w:tcPr>
            <w:tcW w:w="709" w:type="dxa"/>
            <w:vMerge w:val="restart"/>
            <w:vAlign w:val="center"/>
          </w:tcPr>
          <w:p>
            <w:pPr>
              <w:spacing w:line="240" w:lineRule="exact"/>
              <w:rPr>
                <w:rFonts w:hint="eastAsia" w:ascii="仿宋" w:hAnsi="仿宋" w:eastAsia="仿宋" w:cs="仿宋_GB2312"/>
                <w:color w:val="auto"/>
                <w:sz w:val="21"/>
                <w:szCs w:val="21"/>
                <w:highlight w:val="none"/>
                <w:lang w:val="zh-CN"/>
              </w:rPr>
            </w:pPr>
            <w:r>
              <w:rPr>
                <w:rFonts w:hint="eastAsia" w:ascii="仿宋" w:hAnsi="仿宋" w:eastAsia="仿宋" w:cs="仿宋_GB2312"/>
                <w:color w:val="auto"/>
                <w:sz w:val="21"/>
                <w:szCs w:val="21"/>
                <w:highlight w:val="none"/>
                <w:lang w:val="zh-CN"/>
              </w:rPr>
              <w:t>投标人应符合的基本资格条件</w:t>
            </w:r>
          </w:p>
        </w:tc>
        <w:tc>
          <w:tcPr>
            <w:tcW w:w="4393"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（1）具有独立承担民事责任的能力</w:t>
            </w:r>
          </w:p>
        </w:tc>
        <w:tc>
          <w:tcPr>
            <w:tcW w:w="3850"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投标人法人营业执照（副本）或事业单位法人证书（副本）或个体工商户营业执照或有效的自然人身份证明、组织机构代码证复印件（注</w:t>
            </w:r>
            <w:r>
              <w:rPr>
                <w:rFonts w:ascii="仿宋" w:hAnsi="仿宋" w:eastAsia="仿宋"/>
                <w:color w:val="auto"/>
                <w:sz w:val="21"/>
                <w:szCs w:val="21"/>
                <w:highlight w:val="none"/>
              </w:rPr>
              <w:fldChar w:fldCharType="begin"/>
            </w:r>
            <w:r>
              <w:rPr>
                <w:rFonts w:ascii="仿宋" w:hAnsi="仿宋" w:eastAsia="仿宋"/>
                <w:color w:val="auto"/>
                <w:sz w:val="21"/>
                <w:szCs w:val="21"/>
                <w:highlight w:val="none"/>
              </w:rPr>
              <w:instrText xml:space="preserve"> </w:instrText>
            </w:r>
            <w:r>
              <w:rPr>
                <w:rFonts w:hint="eastAsia" w:ascii="仿宋" w:hAnsi="仿宋" w:eastAsia="仿宋"/>
                <w:color w:val="auto"/>
                <w:sz w:val="21"/>
                <w:szCs w:val="21"/>
                <w:highlight w:val="none"/>
              </w:rPr>
              <w:instrText xml:space="preserve">eq \o\ac(○,</w:instrText>
            </w:r>
            <w:r>
              <w:rPr>
                <w:rFonts w:hint="eastAsia" w:ascii="仿宋" w:hAnsi="仿宋" w:eastAsia="仿宋"/>
                <w:color w:val="auto"/>
                <w:position w:val="2"/>
                <w:sz w:val="14"/>
                <w:szCs w:val="21"/>
                <w:highlight w:val="none"/>
              </w:rPr>
              <w:instrText xml:space="preserve">2</w:instrText>
            </w:r>
            <w:r>
              <w:rPr>
                <w:rFonts w:hint="eastAsia" w:ascii="仿宋" w:hAnsi="仿宋" w:eastAsia="仿宋"/>
                <w:color w:val="auto"/>
                <w:sz w:val="21"/>
                <w:szCs w:val="21"/>
                <w:highlight w:val="none"/>
              </w:rPr>
              <w:instrText xml:space="preserve">)</w:instrText>
            </w:r>
            <w:r>
              <w:rPr>
                <w:rFonts w:ascii="仿宋" w:hAnsi="仿宋" w:eastAsia="仿宋"/>
                <w:color w:val="auto"/>
                <w:sz w:val="21"/>
                <w:szCs w:val="21"/>
                <w:highlight w:val="none"/>
              </w:rPr>
              <w:fldChar w:fldCharType="end"/>
            </w:r>
            <w:r>
              <w:rPr>
                <w:rFonts w:hint="eastAsia" w:ascii="仿宋" w:hAnsi="仿宋" w:eastAsia="仿宋"/>
                <w:color w:val="auto"/>
                <w:sz w:val="21"/>
                <w:szCs w:val="21"/>
                <w:highlight w:val="none"/>
              </w:rPr>
              <w:t>）；投标人法定代表人身份证明和法定代表人授权代表委托书。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676" w:type="dxa"/>
            <w:vMerge w:val="continue"/>
            <w:vAlign w:val="center"/>
          </w:tcPr>
          <w:p>
            <w:pPr>
              <w:spacing w:line="240" w:lineRule="exact"/>
              <w:jc w:val="center"/>
              <w:rPr>
                <w:rFonts w:hint="eastAsia" w:ascii="仿宋" w:hAnsi="仿宋" w:eastAsia="仿宋"/>
                <w:color w:val="auto"/>
                <w:sz w:val="21"/>
                <w:szCs w:val="21"/>
                <w:highlight w:val="none"/>
              </w:rPr>
            </w:pPr>
          </w:p>
        </w:tc>
        <w:tc>
          <w:tcPr>
            <w:tcW w:w="709" w:type="dxa"/>
            <w:vMerge w:val="continue"/>
            <w:vAlign w:val="center"/>
          </w:tcPr>
          <w:p>
            <w:pPr>
              <w:spacing w:line="240" w:lineRule="exact"/>
              <w:rPr>
                <w:rFonts w:hint="eastAsia" w:ascii="仿宋" w:hAnsi="仿宋" w:eastAsia="仿宋" w:cs="仿宋_GB2312"/>
                <w:color w:val="auto"/>
                <w:sz w:val="21"/>
                <w:szCs w:val="21"/>
                <w:highlight w:val="none"/>
                <w:lang w:val="zh-CN"/>
              </w:rPr>
            </w:pPr>
          </w:p>
        </w:tc>
        <w:tc>
          <w:tcPr>
            <w:tcW w:w="4393"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s="仿宋_GB2312"/>
                <w:color w:val="auto"/>
                <w:sz w:val="21"/>
                <w:szCs w:val="21"/>
                <w:highlight w:val="none"/>
                <w:lang w:val="zh-CN"/>
              </w:rPr>
              <w:t>（2）</w:t>
            </w:r>
            <w:r>
              <w:rPr>
                <w:rFonts w:hint="eastAsia" w:ascii="仿宋" w:hAnsi="仿宋" w:eastAsia="仿宋"/>
                <w:color w:val="auto"/>
                <w:sz w:val="21"/>
                <w:szCs w:val="21"/>
                <w:highlight w:val="none"/>
              </w:rPr>
              <w:t>具有良好的商业信誉和健全的财务会计制度</w:t>
            </w:r>
          </w:p>
        </w:tc>
        <w:tc>
          <w:tcPr>
            <w:tcW w:w="3850" w:type="dxa"/>
            <w:vAlign w:val="center"/>
          </w:tcPr>
          <w:p>
            <w:pPr>
              <w:spacing w:line="240" w:lineRule="exact"/>
              <w:rPr>
                <w:rFonts w:hint="eastAsia" w:ascii="仿宋" w:hAnsi="仿宋" w:eastAsia="仿宋"/>
                <w:color w:val="auto"/>
                <w:sz w:val="21"/>
                <w:szCs w:val="21"/>
                <w:highlight w:val="none"/>
                <w:lang w:eastAsia="zh-CN"/>
              </w:rPr>
            </w:pPr>
            <w:r>
              <w:rPr>
                <w:rFonts w:hint="eastAsia" w:ascii="仿宋" w:hAnsi="仿宋" w:eastAsia="仿宋"/>
                <w:color w:val="auto"/>
                <w:sz w:val="21"/>
                <w:szCs w:val="21"/>
                <w:highlight w:val="none"/>
              </w:rPr>
              <w:t>提供</w:t>
            </w:r>
            <w:r>
              <w:rPr>
                <w:rFonts w:hint="eastAsia" w:ascii="仿宋" w:hAnsi="仿宋" w:eastAsia="仿宋"/>
                <w:color w:val="auto"/>
                <w:sz w:val="21"/>
                <w:szCs w:val="21"/>
                <w:highlight w:val="none"/>
                <w:lang w:val="en-US" w:eastAsia="zh-CN"/>
              </w:rPr>
              <w:t>2021年度</w:t>
            </w:r>
            <w:r>
              <w:rPr>
                <w:rFonts w:hint="eastAsia" w:ascii="仿宋" w:hAnsi="仿宋" w:eastAsia="仿宋" w:cs="仿宋"/>
                <w:color w:val="auto"/>
                <w:kern w:val="0"/>
                <w:sz w:val="21"/>
                <w:szCs w:val="21"/>
                <w:highlight w:val="none"/>
              </w:rPr>
              <w:t>经会计师事务所或审计机构出具的合法有效的财务审计报告</w:t>
            </w:r>
            <w:r>
              <w:rPr>
                <w:rFonts w:hint="eastAsia" w:ascii="仿宋" w:hAnsi="仿宋" w:eastAsia="仿宋" w:cs="仿宋"/>
                <w:color w:val="auto"/>
                <w:kern w:val="0"/>
                <w:sz w:val="21"/>
                <w:szCs w:val="21"/>
                <w:highlight w:val="none"/>
                <w:lang w:eastAsia="zh-CN"/>
              </w:rPr>
              <w:t>或</w:t>
            </w:r>
            <w:r>
              <w:rPr>
                <w:rFonts w:hint="eastAsia" w:ascii="仿宋" w:hAnsi="仿宋" w:eastAsia="仿宋" w:cs="仿宋"/>
                <w:color w:val="auto"/>
                <w:kern w:val="0"/>
                <w:sz w:val="21"/>
                <w:szCs w:val="21"/>
                <w:highlight w:val="none"/>
              </w:rPr>
              <w:t>财务报表</w:t>
            </w:r>
            <w:r>
              <w:rPr>
                <w:rFonts w:hint="eastAsia" w:ascii="仿宋" w:hAnsi="仿宋" w:eastAsia="仿宋" w:cs="仿宋"/>
                <w:color w:val="auto"/>
                <w:kern w:val="0"/>
                <w:sz w:val="21"/>
                <w:szCs w:val="21"/>
                <w:highlight w:val="none"/>
                <w:lang w:eastAsia="zh-CN"/>
              </w:rPr>
              <w:t>，</w:t>
            </w:r>
            <w:r>
              <w:rPr>
                <w:rFonts w:hint="eastAsia" w:ascii="仿宋" w:hAnsi="仿宋" w:eastAsia="仿宋" w:cs="仿宋"/>
                <w:color w:val="auto"/>
                <w:kern w:val="0"/>
                <w:sz w:val="21"/>
                <w:szCs w:val="21"/>
                <w:highlight w:val="none"/>
              </w:rPr>
              <w:t>财务报表须至少包括现金流量表、资产负债表、利润表</w:t>
            </w:r>
            <w:r>
              <w:rPr>
                <w:rFonts w:hint="eastAsia" w:ascii="仿宋" w:hAnsi="仿宋" w:eastAsia="仿宋" w:cs="仿宋"/>
                <w:color w:val="auto"/>
                <w:kern w:val="0"/>
                <w:sz w:val="21"/>
                <w:szCs w:val="21"/>
                <w:highlight w:val="none"/>
                <w:lang w:eastAsia="zh-CN"/>
              </w:rPr>
              <w:t>。提供公司财务报表的需提供承诺并对财务报表的真实性负责</w:t>
            </w:r>
            <w:r>
              <w:rPr>
                <w:rFonts w:hint="eastAsia" w:ascii="仿宋" w:hAnsi="仿宋" w:eastAsia="仿宋"/>
                <w:color w:val="auto"/>
                <w:sz w:val="21"/>
                <w:szCs w:val="21"/>
                <w:highlight w:val="none"/>
              </w:rPr>
              <w:t>（见格式文件）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6" w:type="dxa"/>
            <w:vMerge w:val="continue"/>
            <w:vAlign w:val="center"/>
          </w:tcPr>
          <w:p>
            <w:pPr>
              <w:spacing w:line="240" w:lineRule="exact"/>
              <w:jc w:val="center"/>
              <w:rPr>
                <w:rFonts w:hint="eastAsia" w:ascii="仿宋" w:hAnsi="仿宋" w:eastAsia="仿宋"/>
                <w:color w:val="auto"/>
                <w:sz w:val="21"/>
                <w:szCs w:val="21"/>
                <w:highlight w:val="none"/>
              </w:rPr>
            </w:pPr>
          </w:p>
        </w:tc>
        <w:tc>
          <w:tcPr>
            <w:tcW w:w="709" w:type="dxa"/>
            <w:vMerge w:val="continue"/>
            <w:vAlign w:val="center"/>
          </w:tcPr>
          <w:p>
            <w:pPr>
              <w:spacing w:line="240" w:lineRule="exact"/>
              <w:rPr>
                <w:rFonts w:hint="eastAsia" w:ascii="仿宋" w:hAnsi="仿宋" w:eastAsia="仿宋" w:cs="仿宋_GB2312"/>
                <w:color w:val="auto"/>
                <w:sz w:val="21"/>
                <w:szCs w:val="21"/>
                <w:highlight w:val="none"/>
                <w:lang w:val="zh-CN"/>
              </w:rPr>
            </w:pPr>
          </w:p>
        </w:tc>
        <w:tc>
          <w:tcPr>
            <w:tcW w:w="4393" w:type="dxa"/>
            <w:vAlign w:val="center"/>
          </w:tcPr>
          <w:p>
            <w:pPr>
              <w:spacing w:line="240" w:lineRule="exact"/>
              <w:rPr>
                <w:rFonts w:hint="eastAsia" w:ascii="仿宋" w:hAnsi="仿宋" w:eastAsia="仿宋" w:cs="仿宋_GB2312"/>
                <w:color w:val="auto"/>
                <w:sz w:val="21"/>
                <w:szCs w:val="21"/>
                <w:highlight w:val="none"/>
                <w:lang w:val="zh-CN"/>
              </w:rPr>
            </w:pPr>
            <w:r>
              <w:rPr>
                <w:rFonts w:hint="eastAsia" w:ascii="仿宋" w:hAnsi="仿宋" w:eastAsia="仿宋" w:cs="仿宋_GB2312"/>
                <w:color w:val="auto"/>
                <w:sz w:val="21"/>
                <w:szCs w:val="21"/>
                <w:highlight w:val="none"/>
                <w:lang w:val="zh-CN"/>
              </w:rPr>
              <w:t>（3）具有履行合同所必需的设备和专业技术能力</w:t>
            </w:r>
          </w:p>
        </w:tc>
        <w:tc>
          <w:tcPr>
            <w:tcW w:w="3850"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投标人提供书面声明或相关证明材料（见格式文件）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676" w:type="dxa"/>
            <w:vMerge w:val="continue"/>
            <w:vAlign w:val="center"/>
          </w:tcPr>
          <w:p>
            <w:pPr>
              <w:spacing w:line="240" w:lineRule="exact"/>
              <w:jc w:val="center"/>
              <w:rPr>
                <w:rFonts w:hint="eastAsia" w:ascii="仿宋" w:hAnsi="仿宋" w:eastAsia="仿宋"/>
                <w:color w:val="auto"/>
                <w:sz w:val="21"/>
                <w:szCs w:val="21"/>
                <w:highlight w:val="none"/>
              </w:rPr>
            </w:pPr>
          </w:p>
        </w:tc>
        <w:tc>
          <w:tcPr>
            <w:tcW w:w="709" w:type="dxa"/>
            <w:vMerge w:val="continue"/>
            <w:vAlign w:val="center"/>
          </w:tcPr>
          <w:p>
            <w:pPr>
              <w:spacing w:line="240" w:lineRule="exact"/>
              <w:rPr>
                <w:rFonts w:hint="eastAsia" w:ascii="仿宋" w:hAnsi="仿宋" w:eastAsia="仿宋" w:cs="仿宋_GB2312"/>
                <w:color w:val="auto"/>
                <w:sz w:val="21"/>
                <w:szCs w:val="21"/>
                <w:highlight w:val="none"/>
                <w:lang w:val="zh-CN"/>
              </w:rPr>
            </w:pPr>
          </w:p>
        </w:tc>
        <w:tc>
          <w:tcPr>
            <w:tcW w:w="4393" w:type="dxa"/>
            <w:vAlign w:val="center"/>
          </w:tcPr>
          <w:p>
            <w:pPr>
              <w:spacing w:line="240" w:lineRule="exact"/>
              <w:rPr>
                <w:rFonts w:hint="eastAsia" w:ascii="仿宋" w:hAnsi="仿宋" w:eastAsia="仿宋" w:cs="仿宋_GB2312"/>
                <w:color w:val="auto"/>
                <w:sz w:val="21"/>
                <w:szCs w:val="21"/>
                <w:highlight w:val="none"/>
                <w:lang w:val="zh-CN"/>
              </w:rPr>
            </w:pP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4</w:t>
            </w:r>
            <w:r>
              <w:rPr>
                <w:rFonts w:hint="eastAsia" w:ascii="仿宋" w:hAnsi="仿宋" w:eastAsia="仿宋"/>
                <w:color w:val="auto"/>
                <w:sz w:val="21"/>
                <w:szCs w:val="21"/>
                <w:highlight w:val="none"/>
              </w:rPr>
              <w:t>）参加采购活动前三年内，在经营活动中没有重大违法记录（注</w:t>
            </w:r>
            <w:r>
              <w:rPr>
                <w:rFonts w:ascii="仿宋" w:hAnsi="仿宋" w:eastAsia="仿宋" w:cs="宋体"/>
                <w:color w:val="auto"/>
                <w:kern w:val="0"/>
                <w:sz w:val="24"/>
                <w:szCs w:val="24"/>
                <w:highlight w:val="none"/>
              </w:rPr>
              <w:fldChar w:fldCharType="begin"/>
            </w:r>
            <w:r>
              <w:rPr>
                <w:rFonts w:ascii="仿宋" w:hAnsi="仿宋" w:eastAsia="仿宋" w:cs="宋体"/>
                <w:color w:val="auto"/>
                <w:kern w:val="0"/>
                <w:sz w:val="24"/>
                <w:szCs w:val="24"/>
                <w:highlight w:val="none"/>
              </w:rPr>
              <w:instrText xml:space="preserve"> </w:instrText>
            </w:r>
            <w:r>
              <w:rPr>
                <w:rFonts w:hint="eastAsia" w:ascii="仿宋" w:hAnsi="仿宋" w:eastAsia="仿宋" w:cs="宋体"/>
                <w:color w:val="auto"/>
                <w:kern w:val="0"/>
                <w:sz w:val="24"/>
                <w:szCs w:val="24"/>
                <w:highlight w:val="none"/>
              </w:rPr>
              <w:instrText xml:space="preserve">eq \o\ac(○,</w:instrText>
            </w:r>
            <w:r>
              <w:rPr>
                <w:rFonts w:hint="eastAsia" w:ascii="仿宋" w:hAnsi="仿宋" w:eastAsia="仿宋" w:cs="宋体"/>
                <w:color w:val="auto"/>
                <w:kern w:val="0"/>
                <w:position w:val="3"/>
                <w:sz w:val="16"/>
                <w:szCs w:val="24"/>
                <w:highlight w:val="none"/>
              </w:rPr>
              <w:instrText xml:space="preserve">2</w:instrText>
            </w:r>
            <w:r>
              <w:rPr>
                <w:rFonts w:hint="eastAsia" w:ascii="仿宋" w:hAnsi="仿宋" w:eastAsia="仿宋" w:cs="宋体"/>
                <w:color w:val="auto"/>
                <w:kern w:val="0"/>
                <w:sz w:val="24"/>
                <w:szCs w:val="24"/>
                <w:highlight w:val="none"/>
              </w:rPr>
              <w:instrText xml:space="preserve">)</w:instrText>
            </w:r>
            <w:r>
              <w:rPr>
                <w:rFonts w:ascii="仿宋" w:hAnsi="仿宋" w:eastAsia="仿宋" w:cs="宋体"/>
                <w:color w:val="auto"/>
                <w:kern w:val="0"/>
                <w:sz w:val="24"/>
                <w:szCs w:val="24"/>
                <w:highlight w:val="none"/>
              </w:rPr>
              <w:fldChar w:fldCharType="end"/>
            </w:r>
            <w:r>
              <w:rPr>
                <w:rFonts w:hint="eastAsia" w:ascii="仿宋" w:hAnsi="仿宋" w:eastAsia="仿宋"/>
                <w:color w:val="auto"/>
                <w:sz w:val="21"/>
                <w:szCs w:val="21"/>
                <w:highlight w:val="none"/>
              </w:rPr>
              <w:t>）</w:t>
            </w:r>
          </w:p>
        </w:tc>
        <w:tc>
          <w:tcPr>
            <w:tcW w:w="3850"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1.投标人提供书面声明（见格式文件）；</w:t>
            </w:r>
          </w:p>
          <w:p>
            <w:pPr>
              <w:spacing w:line="240" w:lineRule="exact"/>
              <w:rPr>
                <w:rFonts w:hint="eastAsia" w:ascii="仿宋" w:hAnsi="仿宋" w:eastAsia="仿宋"/>
                <w:b/>
                <w:color w:val="auto"/>
                <w:sz w:val="21"/>
                <w:szCs w:val="21"/>
                <w:highlight w:val="none"/>
              </w:rPr>
            </w:pPr>
            <w:r>
              <w:rPr>
                <w:rFonts w:hint="eastAsia" w:ascii="仿宋" w:hAnsi="仿宋" w:eastAsia="仿宋"/>
                <w:color w:val="auto"/>
                <w:sz w:val="21"/>
                <w:szCs w:val="21"/>
                <w:highlight w:val="none"/>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76" w:type="dxa"/>
            <w:vMerge w:val="continue"/>
            <w:vAlign w:val="center"/>
          </w:tcPr>
          <w:p>
            <w:pPr>
              <w:spacing w:line="240" w:lineRule="exact"/>
              <w:jc w:val="center"/>
              <w:rPr>
                <w:rFonts w:hint="eastAsia" w:ascii="仿宋" w:hAnsi="仿宋" w:eastAsia="仿宋"/>
                <w:color w:val="auto"/>
                <w:sz w:val="21"/>
                <w:szCs w:val="21"/>
                <w:highlight w:val="none"/>
              </w:rPr>
            </w:pPr>
          </w:p>
        </w:tc>
        <w:tc>
          <w:tcPr>
            <w:tcW w:w="709" w:type="dxa"/>
            <w:vMerge w:val="continue"/>
            <w:vAlign w:val="center"/>
          </w:tcPr>
          <w:p>
            <w:pPr>
              <w:spacing w:line="240" w:lineRule="exact"/>
              <w:rPr>
                <w:rFonts w:hint="eastAsia" w:ascii="仿宋" w:hAnsi="仿宋" w:eastAsia="仿宋" w:cs="仿宋_GB2312"/>
                <w:color w:val="auto"/>
                <w:sz w:val="21"/>
                <w:szCs w:val="21"/>
                <w:highlight w:val="none"/>
              </w:rPr>
            </w:pPr>
          </w:p>
        </w:tc>
        <w:tc>
          <w:tcPr>
            <w:tcW w:w="4393"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w:t>
            </w:r>
            <w:r>
              <w:rPr>
                <w:rFonts w:hint="eastAsia" w:ascii="仿宋" w:hAnsi="仿宋" w:eastAsia="仿宋"/>
                <w:color w:val="auto"/>
                <w:sz w:val="21"/>
                <w:szCs w:val="21"/>
                <w:highlight w:val="none"/>
                <w:lang w:val="en-US" w:eastAsia="zh-CN"/>
              </w:rPr>
              <w:t>5</w:t>
            </w:r>
            <w:r>
              <w:rPr>
                <w:rFonts w:hint="eastAsia" w:ascii="仿宋" w:hAnsi="仿宋" w:eastAsia="仿宋"/>
                <w:color w:val="auto"/>
                <w:sz w:val="21"/>
                <w:szCs w:val="21"/>
                <w:highlight w:val="none"/>
              </w:rPr>
              <w:t>）法律、行政法规规定的其他条件</w:t>
            </w:r>
          </w:p>
        </w:tc>
        <w:tc>
          <w:tcPr>
            <w:tcW w:w="3850" w:type="dxa"/>
            <w:vAlign w:val="center"/>
          </w:tcPr>
          <w:p>
            <w:pPr>
              <w:spacing w:line="240" w:lineRule="exact"/>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76" w:type="dxa"/>
            <w:vAlign w:val="center"/>
          </w:tcPr>
          <w:p>
            <w:pPr>
              <w:spacing w:line="24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w:t>
            </w:r>
          </w:p>
        </w:tc>
        <w:tc>
          <w:tcPr>
            <w:tcW w:w="5102" w:type="dxa"/>
            <w:gridSpan w:val="2"/>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特定资格条件</w:t>
            </w:r>
          </w:p>
        </w:tc>
        <w:tc>
          <w:tcPr>
            <w:tcW w:w="3850" w:type="dxa"/>
            <w:vAlign w:val="center"/>
          </w:tcPr>
          <w:p>
            <w:pPr>
              <w:spacing w:line="240" w:lineRule="exac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按第一篇“</w:t>
            </w:r>
            <w:r>
              <w:rPr>
                <w:rFonts w:hint="eastAsia" w:ascii="仿宋" w:hAnsi="仿宋" w:eastAsia="仿宋"/>
                <w:color w:val="auto"/>
                <w:sz w:val="21"/>
                <w:szCs w:val="21"/>
                <w:highlight w:val="none"/>
                <w:lang w:val="en-US" w:eastAsia="zh-CN"/>
              </w:rPr>
              <w:t>二</w:t>
            </w:r>
            <w:r>
              <w:rPr>
                <w:rFonts w:hint="eastAsia" w:ascii="仿宋" w:hAnsi="仿宋" w:eastAsia="仿宋"/>
                <w:color w:val="auto"/>
                <w:sz w:val="21"/>
                <w:szCs w:val="21"/>
                <w:highlight w:val="none"/>
              </w:rPr>
              <w:t>、投标人资格要求（二）特定资格条件”的要求提交</w:t>
            </w:r>
          </w:p>
        </w:tc>
      </w:tr>
    </w:tbl>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注：</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fldChar w:fldCharType="begin"/>
      </w:r>
      <w:r>
        <w:rPr>
          <w:rFonts w:ascii="仿宋" w:hAnsi="仿宋" w:eastAsia="仿宋" w:cs="宋体"/>
          <w:color w:val="auto"/>
          <w:kern w:val="0"/>
          <w:sz w:val="24"/>
          <w:szCs w:val="24"/>
          <w:highlight w:val="none"/>
        </w:rPr>
        <w:instrText xml:space="preserve"> </w:instrText>
      </w:r>
      <w:r>
        <w:rPr>
          <w:rFonts w:hint="eastAsia" w:ascii="仿宋" w:hAnsi="仿宋" w:eastAsia="仿宋" w:cs="宋体"/>
          <w:color w:val="auto"/>
          <w:kern w:val="0"/>
          <w:sz w:val="24"/>
          <w:szCs w:val="24"/>
          <w:highlight w:val="none"/>
        </w:rPr>
        <w:instrText xml:space="preserve">eq \o\ac(○,</w:instrText>
      </w:r>
      <w:r>
        <w:rPr>
          <w:rFonts w:hint="eastAsia" w:ascii="仿宋" w:hAnsi="仿宋" w:eastAsia="仿宋" w:cs="宋体"/>
          <w:color w:val="auto"/>
          <w:kern w:val="0"/>
          <w:position w:val="3"/>
          <w:sz w:val="16"/>
          <w:szCs w:val="24"/>
          <w:highlight w:val="none"/>
        </w:rPr>
        <w:instrText xml:space="preserve">1</w:instrText>
      </w:r>
      <w:r>
        <w:rPr>
          <w:rFonts w:hint="eastAsia" w:ascii="仿宋" w:hAnsi="仿宋" w:eastAsia="仿宋" w:cs="宋体"/>
          <w:color w:val="auto"/>
          <w:kern w:val="0"/>
          <w:sz w:val="24"/>
          <w:szCs w:val="24"/>
          <w:highlight w:val="none"/>
        </w:rPr>
        <w:instrText xml:space="preserve">)</w:instrText>
      </w:r>
      <w:r>
        <w:rPr>
          <w:rFonts w:ascii="仿宋" w:hAnsi="仿宋" w:eastAsia="仿宋" w:cs="宋体"/>
          <w:color w:val="auto"/>
          <w:kern w:val="0"/>
          <w:sz w:val="24"/>
          <w:szCs w:val="24"/>
          <w:highlight w:val="none"/>
        </w:rPr>
        <w:fldChar w:fldCharType="end"/>
      </w:r>
      <w:r>
        <w:rPr>
          <w:rFonts w:hint="eastAsia" w:ascii="仿宋" w:hAnsi="仿宋" w:eastAsia="仿宋" w:cs="宋体"/>
          <w:color w:val="auto"/>
          <w:kern w:val="0"/>
          <w:sz w:val="24"/>
          <w:szCs w:val="24"/>
          <w:highlight w:val="none"/>
        </w:rPr>
        <w:t>投标人按“五证合一”登记制度办理营业执照的，组织机构代码证以投标人所提供的营业执照（副本）复印件为准。</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fldChar w:fldCharType="begin"/>
      </w:r>
      <w:r>
        <w:rPr>
          <w:rFonts w:ascii="仿宋" w:hAnsi="仿宋" w:eastAsia="仿宋" w:cs="宋体"/>
          <w:color w:val="auto"/>
          <w:kern w:val="0"/>
          <w:sz w:val="24"/>
          <w:szCs w:val="24"/>
          <w:highlight w:val="none"/>
        </w:rPr>
        <w:instrText xml:space="preserve"> </w:instrText>
      </w:r>
      <w:r>
        <w:rPr>
          <w:rFonts w:hint="eastAsia" w:ascii="仿宋" w:hAnsi="仿宋" w:eastAsia="仿宋" w:cs="宋体"/>
          <w:color w:val="auto"/>
          <w:kern w:val="0"/>
          <w:sz w:val="24"/>
          <w:szCs w:val="24"/>
          <w:highlight w:val="none"/>
        </w:rPr>
        <w:instrText xml:space="preserve">eq \o\ac(○,</w:instrText>
      </w:r>
      <w:r>
        <w:rPr>
          <w:rFonts w:hint="eastAsia" w:ascii="仿宋" w:hAnsi="仿宋" w:eastAsia="仿宋" w:cs="宋体"/>
          <w:color w:val="auto"/>
          <w:kern w:val="0"/>
          <w:position w:val="3"/>
          <w:sz w:val="16"/>
          <w:szCs w:val="24"/>
          <w:highlight w:val="none"/>
        </w:rPr>
        <w:instrText xml:space="preserve">2</w:instrText>
      </w:r>
      <w:r>
        <w:rPr>
          <w:rFonts w:hint="eastAsia" w:ascii="仿宋" w:hAnsi="仿宋" w:eastAsia="仿宋" w:cs="宋体"/>
          <w:color w:val="auto"/>
          <w:kern w:val="0"/>
          <w:sz w:val="24"/>
          <w:szCs w:val="24"/>
          <w:highlight w:val="none"/>
        </w:rPr>
        <w:instrText xml:space="preserve">)</w:instrText>
      </w:r>
      <w:r>
        <w:rPr>
          <w:rFonts w:ascii="仿宋" w:hAnsi="仿宋" w:eastAsia="仿宋" w:cs="宋体"/>
          <w:color w:val="auto"/>
          <w:kern w:val="0"/>
          <w:sz w:val="24"/>
          <w:szCs w:val="24"/>
          <w:highlight w:val="none"/>
        </w:rPr>
        <w:fldChar w:fldCharType="end"/>
      </w:r>
      <w:r>
        <w:rPr>
          <w:rFonts w:hint="eastAsia" w:ascii="仿宋" w:hAnsi="仿宋" w:eastAsia="仿宋" w:cs="宋体"/>
          <w:color w:val="auto"/>
          <w:kern w:val="0"/>
          <w:sz w:val="24"/>
          <w:szCs w:val="24"/>
          <w:highlight w:val="none"/>
        </w:rPr>
        <w:t>根据《</w:t>
      </w:r>
      <w:r>
        <w:rPr>
          <w:rFonts w:ascii="仿宋" w:hAnsi="仿宋" w:eastAsia="仿宋" w:cs="宋体"/>
          <w:color w:val="auto"/>
          <w:kern w:val="0"/>
          <w:sz w:val="24"/>
          <w:szCs w:val="24"/>
          <w:highlight w:val="none"/>
        </w:rPr>
        <w:t>中华人民共和国政府采购法实施条例</w:t>
      </w:r>
      <w:r>
        <w:rPr>
          <w:rFonts w:hint="eastAsia" w:ascii="仿宋" w:hAnsi="仿宋" w:eastAsia="仿宋" w:cs="宋体"/>
          <w:color w:val="auto"/>
          <w:kern w:val="0"/>
          <w:sz w:val="24"/>
          <w:szCs w:val="24"/>
          <w:highlight w:val="none"/>
        </w:rPr>
        <w:t>》第十九条“参加政府采购活动前三年内，在经营活动中没有重大违法记录”中“重大违法记录”</w:t>
      </w:r>
      <w:r>
        <w:rPr>
          <w:rFonts w:ascii="仿宋" w:hAnsi="仿宋" w:eastAsia="仿宋" w:cs="宋体"/>
          <w:color w:val="auto"/>
          <w:kern w:val="0"/>
          <w:sz w:val="24"/>
          <w:szCs w:val="24"/>
          <w:highlight w:val="none"/>
        </w:rPr>
        <w:t>，是指投标人因违法经营受到刑事处罚或者责令停产停业、吊销许可证或者执照、较大数额罚款等行政处罚。</w:t>
      </w:r>
      <w:r>
        <w:rPr>
          <w:rFonts w:hint="eastAsia" w:ascii="仿宋" w:hAnsi="仿宋" w:eastAsia="仿宋" w:cs="宋体"/>
          <w:color w:val="auto"/>
          <w:kern w:val="0"/>
          <w:sz w:val="24"/>
          <w:szCs w:val="24"/>
          <w:highlight w:val="none"/>
        </w:rPr>
        <w:t>行政处罚中“较大数额”的认定标准，由被执行人所在的省、自治区、直辖市人民政府制定，国务院有关部门规定了较大数额标准的，从其规定。</w:t>
      </w:r>
    </w:p>
    <w:p>
      <w:pPr>
        <w:pStyle w:val="4"/>
        <w:spacing w:line="400" w:lineRule="exact"/>
        <w:ind w:firstLine="482" w:firstLineChars="200"/>
        <w:rPr>
          <w:rFonts w:hint="eastAsia" w:ascii="仿宋" w:hAnsi="仿宋" w:eastAsia="仿宋"/>
          <w:b/>
          <w:color w:val="auto"/>
          <w:sz w:val="24"/>
          <w:szCs w:val="24"/>
          <w:highlight w:val="none"/>
        </w:rPr>
      </w:pPr>
      <w:bookmarkStart w:id="21" w:name="_Toc492721016"/>
      <w:bookmarkStart w:id="22" w:name="_Toc11769"/>
      <w:r>
        <w:rPr>
          <w:rFonts w:hint="eastAsia" w:ascii="仿宋" w:hAnsi="仿宋" w:eastAsia="仿宋"/>
          <w:b/>
          <w:color w:val="auto"/>
          <w:sz w:val="24"/>
          <w:szCs w:val="24"/>
          <w:highlight w:val="none"/>
        </w:rPr>
        <w:t>二、评标方法</w:t>
      </w:r>
      <w:bookmarkEnd w:id="21"/>
      <w:bookmarkEnd w:id="22"/>
    </w:p>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本项目采用综合评分法进行评标。</w:t>
      </w:r>
    </w:p>
    <w:p>
      <w:pPr>
        <w:snapToGrid w:val="0"/>
        <w:spacing w:line="40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kern w:val="0"/>
          <w:sz w:val="24"/>
          <w:szCs w:val="24"/>
          <w:highlight w:val="none"/>
        </w:rPr>
        <w:t>综合评分法，是指投标文件满足招标文件全部实质性要求且按照评审因素的量化指标评审得分最高的投标人为中标候选人的评标方法。投标人总得分为价格、技术等评定因素分别按照相应权重值计算分项得分后相加，满分为10</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rPr>
        <w:t>分。</w:t>
      </w:r>
    </w:p>
    <w:p>
      <w:pPr>
        <w:snapToGrid w:val="0"/>
        <w:spacing w:line="400" w:lineRule="exact"/>
        <w:ind w:firstLine="480" w:firstLineChars="200"/>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（一）符合性审查</w:t>
      </w:r>
    </w:p>
    <w:p>
      <w:pPr>
        <w:snapToGrid w:val="0"/>
        <w:spacing w:line="400" w:lineRule="exact"/>
        <w:ind w:firstLine="480" w:firstLineChars="200"/>
        <w:rPr>
          <w:rFonts w:hint="eastAsia" w:ascii="仿宋" w:hAnsi="仿宋" w:eastAsia="仿宋"/>
          <w:color w:val="auto"/>
          <w:kern w:val="0"/>
          <w:sz w:val="24"/>
          <w:szCs w:val="24"/>
          <w:highlight w:val="none"/>
        </w:rPr>
      </w:pPr>
      <w:r>
        <w:rPr>
          <w:rFonts w:hint="eastAsia" w:ascii="仿宋" w:hAnsi="仿宋" w:eastAsia="仿宋" w:cs="宋体"/>
          <w:color w:val="auto"/>
          <w:kern w:val="0"/>
          <w:sz w:val="24"/>
          <w:szCs w:val="24"/>
          <w:highlight w:val="none"/>
        </w:rPr>
        <w:t>评标委员会应当对符合资格的投标人的投标文件进行符合性审查，以确定其是否满足招标文件的实质性要求。</w:t>
      </w:r>
      <w:r>
        <w:rPr>
          <w:rFonts w:hint="eastAsia" w:ascii="仿宋" w:hAnsi="仿宋" w:eastAsia="仿宋"/>
          <w:color w:val="auto"/>
          <w:kern w:val="0"/>
          <w:sz w:val="24"/>
          <w:szCs w:val="24"/>
          <w:highlight w:val="none"/>
        </w:rPr>
        <w:t>符合性审查资料表如下：</w:t>
      </w:r>
    </w:p>
    <w:tbl>
      <w:tblPr>
        <w:tblStyle w:val="57"/>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75" w:type="dxa"/>
            <w:vAlign w:val="center"/>
          </w:tcPr>
          <w:p>
            <w:pPr>
              <w:spacing w:line="240" w:lineRule="exact"/>
              <w:jc w:val="center"/>
              <w:rPr>
                <w:rFonts w:hint="eastAsia" w:ascii="仿宋" w:hAnsi="仿宋" w:eastAsia="仿宋" w:cs="宋体"/>
                <w:b/>
                <w:color w:val="auto"/>
                <w:kern w:val="0"/>
                <w:sz w:val="21"/>
                <w:szCs w:val="21"/>
                <w:highlight w:val="none"/>
              </w:rPr>
            </w:pPr>
            <w:r>
              <w:rPr>
                <w:rFonts w:hint="eastAsia" w:ascii="仿宋" w:hAnsi="仿宋" w:eastAsia="仿宋" w:cs="宋体"/>
                <w:b/>
                <w:color w:val="auto"/>
                <w:kern w:val="0"/>
                <w:sz w:val="21"/>
                <w:szCs w:val="21"/>
                <w:highlight w:val="none"/>
              </w:rPr>
              <w:t>序号</w:t>
            </w:r>
          </w:p>
        </w:tc>
        <w:tc>
          <w:tcPr>
            <w:tcW w:w="3546" w:type="dxa"/>
            <w:gridSpan w:val="2"/>
            <w:vAlign w:val="center"/>
          </w:tcPr>
          <w:p>
            <w:pPr>
              <w:spacing w:line="240" w:lineRule="exact"/>
              <w:jc w:val="center"/>
              <w:rPr>
                <w:rFonts w:hint="eastAsia" w:ascii="仿宋" w:hAnsi="仿宋" w:eastAsia="仿宋" w:cs="宋体"/>
                <w:b/>
                <w:color w:val="auto"/>
                <w:kern w:val="0"/>
                <w:sz w:val="21"/>
                <w:szCs w:val="21"/>
                <w:highlight w:val="none"/>
              </w:rPr>
            </w:pPr>
            <w:r>
              <w:rPr>
                <w:rFonts w:hint="eastAsia" w:ascii="仿宋" w:hAnsi="仿宋" w:eastAsia="仿宋" w:cs="宋体"/>
                <w:b/>
                <w:color w:val="auto"/>
                <w:kern w:val="0"/>
                <w:sz w:val="21"/>
                <w:szCs w:val="21"/>
                <w:highlight w:val="none"/>
              </w:rPr>
              <w:t>评审因素</w:t>
            </w:r>
          </w:p>
        </w:tc>
        <w:tc>
          <w:tcPr>
            <w:tcW w:w="5409" w:type="dxa"/>
            <w:vAlign w:val="center"/>
          </w:tcPr>
          <w:p>
            <w:pPr>
              <w:spacing w:line="240" w:lineRule="exact"/>
              <w:jc w:val="center"/>
              <w:rPr>
                <w:rFonts w:hint="eastAsia" w:ascii="仿宋" w:hAnsi="仿宋" w:eastAsia="仿宋" w:cs="宋体"/>
                <w:b/>
                <w:color w:val="auto"/>
                <w:kern w:val="0"/>
                <w:sz w:val="21"/>
                <w:szCs w:val="21"/>
                <w:highlight w:val="none"/>
              </w:rPr>
            </w:pPr>
            <w:r>
              <w:rPr>
                <w:rFonts w:hint="eastAsia" w:ascii="仿宋" w:hAnsi="仿宋" w:eastAsia="仿宋"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675" w:type="dxa"/>
            <w:vMerge w:val="restart"/>
            <w:vAlign w:val="center"/>
          </w:tcPr>
          <w:p>
            <w:pPr>
              <w:spacing w:line="240" w:lineRule="exact"/>
              <w:jc w:val="center"/>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1</w:t>
            </w:r>
          </w:p>
        </w:tc>
        <w:tc>
          <w:tcPr>
            <w:tcW w:w="1562" w:type="dxa"/>
            <w:vMerge w:val="restart"/>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有效性审查</w:t>
            </w:r>
          </w:p>
        </w:tc>
        <w:tc>
          <w:tcPr>
            <w:tcW w:w="1984"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olor w:val="auto"/>
                <w:sz w:val="21"/>
                <w:szCs w:val="21"/>
                <w:highlight w:val="none"/>
              </w:rPr>
              <w:t>投标文件签署</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olor w:val="auto"/>
                <w:sz w:val="21"/>
                <w:szCs w:val="21"/>
                <w:highlight w:val="none"/>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vMerge w:val="continue"/>
            <w:vAlign w:val="center"/>
          </w:tcPr>
          <w:p>
            <w:pPr>
              <w:spacing w:line="240" w:lineRule="exact"/>
              <w:jc w:val="center"/>
              <w:rPr>
                <w:rFonts w:hint="eastAsia" w:ascii="仿宋" w:hAnsi="仿宋" w:eastAsia="仿宋" w:cs="宋体"/>
                <w:color w:val="auto"/>
                <w:kern w:val="0"/>
                <w:sz w:val="21"/>
                <w:szCs w:val="21"/>
                <w:highlight w:val="none"/>
              </w:rPr>
            </w:pPr>
          </w:p>
        </w:tc>
        <w:tc>
          <w:tcPr>
            <w:tcW w:w="1562" w:type="dxa"/>
            <w:vMerge w:val="continue"/>
            <w:vAlign w:val="center"/>
          </w:tcPr>
          <w:p>
            <w:pPr>
              <w:spacing w:line="240" w:lineRule="exact"/>
              <w:rPr>
                <w:rFonts w:hint="eastAsia" w:ascii="仿宋" w:hAnsi="仿宋" w:eastAsia="仿宋" w:cs="宋体"/>
                <w:color w:val="auto"/>
                <w:kern w:val="0"/>
                <w:sz w:val="21"/>
                <w:szCs w:val="21"/>
                <w:highlight w:val="none"/>
              </w:rPr>
            </w:pPr>
          </w:p>
        </w:tc>
        <w:tc>
          <w:tcPr>
            <w:tcW w:w="1984" w:type="dxa"/>
            <w:vAlign w:val="center"/>
          </w:tcPr>
          <w:p>
            <w:pPr>
              <w:spacing w:line="240" w:lineRule="exact"/>
              <w:rPr>
                <w:rFonts w:hint="eastAsia" w:ascii="仿宋" w:hAnsi="仿宋" w:eastAsia="仿宋" w:cs="仿宋_GB2312"/>
                <w:color w:val="auto"/>
                <w:sz w:val="21"/>
                <w:szCs w:val="21"/>
                <w:highlight w:val="none"/>
                <w:lang w:val="zh-CN"/>
              </w:rPr>
            </w:pPr>
            <w:r>
              <w:rPr>
                <w:rFonts w:hint="eastAsia" w:ascii="仿宋" w:hAnsi="仿宋" w:eastAsia="仿宋" w:cs="仿宋_GB2312"/>
                <w:color w:val="auto"/>
                <w:sz w:val="21"/>
                <w:szCs w:val="21"/>
                <w:highlight w:val="none"/>
                <w:lang w:val="zh-CN"/>
              </w:rPr>
              <w:t>投标方案</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仿宋_GB2312"/>
                <w:color w:val="auto"/>
                <w:sz w:val="21"/>
                <w:szCs w:val="21"/>
                <w:highlight w:val="none"/>
                <w:lang w:val="zh-CN"/>
              </w:rPr>
              <w:t>每个投标单位只能有一个方案投标。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75" w:type="dxa"/>
            <w:vMerge w:val="continue"/>
            <w:vAlign w:val="center"/>
          </w:tcPr>
          <w:p>
            <w:pPr>
              <w:spacing w:line="240" w:lineRule="exact"/>
              <w:jc w:val="center"/>
              <w:rPr>
                <w:rFonts w:hint="eastAsia" w:ascii="仿宋" w:hAnsi="仿宋" w:eastAsia="仿宋" w:cs="宋体"/>
                <w:color w:val="auto"/>
                <w:kern w:val="0"/>
                <w:sz w:val="21"/>
                <w:szCs w:val="21"/>
                <w:highlight w:val="none"/>
              </w:rPr>
            </w:pPr>
          </w:p>
        </w:tc>
        <w:tc>
          <w:tcPr>
            <w:tcW w:w="1562" w:type="dxa"/>
            <w:vMerge w:val="continue"/>
            <w:vAlign w:val="center"/>
          </w:tcPr>
          <w:p>
            <w:pPr>
              <w:spacing w:line="240" w:lineRule="exact"/>
              <w:rPr>
                <w:rFonts w:hint="eastAsia" w:ascii="仿宋" w:hAnsi="仿宋" w:eastAsia="仿宋" w:cs="宋体"/>
                <w:color w:val="auto"/>
                <w:kern w:val="0"/>
                <w:sz w:val="21"/>
                <w:szCs w:val="21"/>
                <w:highlight w:val="none"/>
              </w:rPr>
            </w:pPr>
          </w:p>
        </w:tc>
        <w:tc>
          <w:tcPr>
            <w:tcW w:w="1984" w:type="dxa"/>
            <w:vAlign w:val="center"/>
          </w:tcPr>
          <w:p>
            <w:pPr>
              <w:spacing w:line="240" w:lineRule="exact"/>
              <w:rPr>
                <w:rFonts w:hint="eastAsia" w:ascii="仿宋" w:hAnsi="仿宋" w:eastAsia="仿宋" w:cs="仿宋_GB2312"/>
                <w:color w:val="auto"/>
                <w:sz w:val="21"/>
                <w:szCs w:val="21"/>
                <w:highlight w:val="none"/>
                <w:lang w:val="zh-CN"/>
              </w:rPr>
            </w:pPr>
            <w:r>
              <w:rPr>
                <w:rFonts w:hint="eastAsia" w:ascii="仿宋" w:hAnsi="仿宋" w:eastAsia="仿宋"/>
                <w:color w:val="auto"/>
                <w:sz w:val="21"/>
                <w:szCs w:val="21"/>
                <w:highlight w:val="none"/>
              </w:rPr>
              <w:t>报价唯一</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仿宋_GB2312"/>
                <w:color w:val="auto"/>
                <w:sz w:val="21"/>
                <w:szCs w:val="21"/>
                <w:highlight w:val="none"/>
                <w:lang w:val="zh-CN"/>
              </w:rPr>
              <w:t>只能在预算金额和最高限价内报价，</w:t>
            </w:r>
            <w:r>
              <w:rPr>
                <w:rFonts w:hint="eastAsia" w:ascii="仿宋" w:hAnsi="仿宋" w:eastAsia="仿宋"/>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75" w:type="dxa"/>
            <w:vAlign w:val="center"/>
          </w:tcPr>
          <w:p>
            <w:pPr>
              <w:spacing w:line="240" w:lineRule="exact"/>
              <w:jc w:val="center"/>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2</w:t>
            </w:r>
          </w:p>
        </w:tc>
        <w:tc>
          <w:tcPr>
            <w:tcW w:w="1562"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完整性审查</w:t>
            </w:r>
          </w:p>
        </w:tc>
        <w:tc>
          <w:tcPr>
            <w:tcW w:w="1984"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仿宋_GB2312"/>
                <w:color w:val="auto"/>
                <w:sz w:val="21"/>
                <w:szCs w:val="21"/>
                <w:highlight w:val="none"/>
                <w:lang w:val="zh-CN"/>
              </w:rPr>
              <w:t>投标文件份数</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仿宋_GB2312"/>
                <w:color w:val="auto"/>
                <w:sz w:val="21"/>
                <w:szCs w:val="21"/>
                <w:highlight w:val="none"/>
                <w:lang w:val="zh-CN"/>
              </w:rPr>
              <w:t>投标文件正、副本数量符合招标文件要求。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vAlign w:val="center"/>
          </w:tcPr>
          <w:p>
            <w:pPr>
              <w:spacing w:line="240" w:lineRule="exact"/>
              <w:jc w:val="center"/>
              <w:rPr>
                <w:rFonts w:hint="eastAsia" w:ascii="仿宋" w:hAnsi="仿宋" w:eastAsia="仿宋" w:cs="宋体"/>
                <w:color w:val="auto"/>
                <w:kern w:val="0"/>
                <w:sz w:val="21"/>
                <w:szCs w:val="21"/>
                <w:highlight w:val="none"/>
                <w:lang w:eastAsia="zh-CN"/>
              </w:rPr>
            </w:pPr>
            <w:r>
              <w:rPr>
                <w:rFonts w:hint="eastAsia" w:ascii="仿宋" w:hAnsi="仿宋" w:eastAsia="仿宋" w:cs="宋体"/>
                <w:color w:val="auto"/>
                <w:kern w:val="0"/>
                <w:sz w:val="21"/>
                <w:szCs w:val="21"/>
                <w:highlight w:val="none"/>
                <w:lang w:val="en-US" w:eastAsia="zh-CN"/>
              </w:rPr>
              <w:t>3</w:t>
            </w:r>
          </w:p>
        </w:tc>
        <w:tc>
          <w:tcPr>
            <w:tcW w:w="1562" w:type="dxa"/>
            <w:vAlign w:val="center"/>
          </w:tcPr>
          <w:p>
            <w:pPr>
              <w:spacing w:line="240" w:lineRule="exact"/>
              <w:rPr>
                <w:rFonts w:hint="eastAsia" w:ascii="仿宋" w:hAnsi="仿宋" w:eastAsia="仿宋" w:cs="宋体"/>
                <w:color w:val="auto"/>
                <w:kern w:val="0"/>
                <w:sz w:val="21"/>
                <w:szCs w:val="21"/>
                <w:highlight w:val="none"/>
                <w:lang w:eastAsia="zh-CN"/>
              </w:rPr>
            </w:pPr>
            <w:r>
              <w:rPr>
                <w:rFonts w:hint="eastAsia" w:ascii="仿宋" w:hAnsi="仿宋" w:eastAsia="仿宋" w:cs="宋体"/>
                <w:color w:val="000000"/>
                <w:kern w:val="0"/>
                <w:sz w:val="21"/>
                <w:szCs w:val="21"/>
              </w:rPr>
              <w:t>技术参数</w:t>
            </w:r>
          </w:p>
        </w:tc>
        <w:tc>
          <w:tcPr>
            <w:tcW w:w="1984"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投标文件内容</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lang w:val="en-US" w:eastAsia="zh-CN"/>
              </w:rPr>
              <w:t>符合</w:t>
            </w:r>
            <w:r>
              <w:rPr>
                <w:rFonts w:hint="eastAsia" w:ascii="仿宋" w:hAnsi="仿宋" w:eastAsia="仿宋" w:cs="宋体"/>
                <w:color w:val="auto"/>
                <w:kern w:val="0"/>
                <w:sz w:val="21"/>
                <w:szCs w:val="21"/>
                <w:highlight w:val="none"/>
              </w:rPr>
              <w:t>本招标文件</w:t>
            </w:r>
            <w:r>
              <w:rPr>
                <w:rFonts w:hint="eastAsia" w:ascii="仿宋" w:hAnsi="仿宋" w:eastAsia="仿宋" w:cs="宋体"/>
                <w:color w:val="000000"/>
                <w:kern w:val="0"/>
                <w:sz w:val="21"/>
                <w:szCs w:val="21"/>
              </w:rPr>
              <w:t>第二篇要求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hint="eastAsia" w:ascii="仿宋" w:hAnsi="仿宋" w:eastAsia="仿宋" w:cs="宋体"/>
                <w:color w:val="auto"/>
                <w:kern w:val="0"/>
                <w:sz w:val="21"/>
                <w:szCs w:val="21"/>
                <w:highlight w:val="none"/>
                <w:lang w:eastAsia="zh-CN"/>
              </w:rPr>
            </w:pPr>
            <w:r>
              <w:rPr>
                <w:rFonts w:hint="eastAsia" w:ascii="仿宋" w:hAnsi="仿宋" w:eastAsia="仿宋" w:cs="宋体"/>
                <w:color w:val="auto"/>
                <w:kern w:val="0"/>
                <w:sz w:val="21"/>
                <w:szCs w:val="21"/>
                <w:highlight w:val="none"/>
                <w:lang w:val="en-US" w:eastAsia="zh-CN"/>
              </w:rPr>
              <w:t>4</w:t>
            </w:r>
          </w:p>
        </w:tc>
        <w:tc>
          <w:tcPr>
            <w:tcW w:w="1562" w:type="dxa"/>
            <w:vAlign w:val="center"/>
          </w:tcPr>
          <w:p>
            <w:pPr>
              <w:spacing w:line="240" w:lineRule="exact"/>
              <w:rPr>
                <w:rFonts w:hint="eastAsia" w:ascii="仿宋" w:hAnsi="仿宋" w:eastAsia="仿宋" w:cs="宋体"/>
                <w:color w:val="auto"/>
                <w:kern w:val="0"/>
                <w:sz w:val="21"/>
                <w:szCs w:val="21"/>
                <w:highlight w:val="none"/>
                <w:lang w:eastAsia="zh-CN"/>
              </w:rPr>
            </w:pPr>
            <w:r>
              <w:rPr>
                <w:rFonts w:hint="eastAsia" w:ascii="仿宋" w:hAnsi="仿宋" w:eastAsia="仿宋" w:cs="宋体"/>
                <w:color w:val="000000"/>
                <w:kern w:val="0"/>
                <w:sz w:val="21"/>
                <w:szCs w:val="21"/>
              </w:rPr>
              <w:t>商务要求</w:t>
            </w:r>
          </w:p>
        </w:tc>
        <w:tc>
          <w:tcPr>
            <w:tcW w:w="1984"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投标文件内容</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本招标文件第三篇</w:t>
            </w:r>
            <w:r>
              <w:rPr>
                <w:rFonts w:hint="eastAsia" w:ascii="仿宋" w:hAnsi="仿宋" w:eastAsia="仿宋" w:cs="宋体"/>
                <w:color w:val="auto"/>
                <w:kern w:val="0"/>
                <w:sz w:val="21"/>
                <w:szCs w:val="21"/>
                <w:highlight w:val="none"/>
                <w:u w:val="single"/>
              </w:rPr>
              <w:t xml:space="preserve"> 项目商务要求  </w:t>
            </w:r>
            <w:r>
              <w:rPr>
                <w:rFonts w:hint="eastAsia" w:ascii="仿宋" w:hAnsi="仿宋" w:eastAsia="仿宋" w:cs="宋体"/>
                <w:color w:val="auto"/>
                <w:kern w:val="0"/>
                <w:sz w:val="21"/>
                <w:szCs w:val="21"/>
                <w:highlight w:val="none"/>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75" w:type="dxa"/>
            <w:vAlign w:val="center"/>
          </w:tcPr>
          <w:p>
            <w:pPr>
              <w:spacing w:line="240" w:lineRule="exact"/>
              <w:jc w:val="center"/>
              <w:rPr>
                <w:rFonts w:hint="eastAsia" w:ascii="仿宋" w:hAnsi="仿宋" w:eastAsia="仿宋" w:cs="宋体"/>
                <w:color w:val="auto"/>
                <w:kern w:val="0"/>
                <w:sz w:val="21"/>
                <w:szCs w:val="21"/>
                <w:highlight w:val="none"/>
                <w:lang w:eastAsia="zh-CN"/>
              </w:rPr>
            </w:pPr>
            <w:r>
              <w:rPr>
                <w:rFonts w:hint="eastAsia" w:ascii="仿宋" w:hAnsi="仿宋" w:eastAsia="仿宋" w:cs="宋体"/>
                <w:color w:val="auto"/>
                <w:kern w:val="0"/>
                <w:sz w:val="21"/>
                <w:szCs w:val="21"/>
                <w:highlight w:val="none"/>
                <w:lang w:val="en-US" w:eastAsia="zh-CN"/>
              </w:rPr>
              <w:t>5</w:t>
            </w:r>
          </w:p>
        </w:tc>
        <w:tc>
          <w:tcPr>
            <w:tcW w:w="1562"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投标有效期</w:t>
            </w:r>
          </w:p>
        </w:tc>
        <w:tc>
          <w:tcPr>
            <w:tcW w:w="1984"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投标文件内容</w:t>
            </w:r>
          </w:p>
        </w:tc>
        <w:tc>
          <w:tcPr>
            <w:tcW w:w="5409" w:type="dxa"/>
            <w:vAlign w:val="center"/>
          </w:tcPr>
          <w:p>
            <w:pPr>
              <w:spacing w:line="240" w:lineRule="exact"/>
              <w:rPr>
                <w:rFonts w:hint="eastAsia"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投标有效期为投标截止日期后九十天内</w:t>
            </w:r>
          </w:p>
        </w:tc>
      </w:tr>
    </w:tbl>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法定代表人授权代表签字，其澄清的内容不得超出投标文件的范围或者改变投标文件的实质性内容。</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（三）比较与评价。按招标文件中规定的评标方法和标准，对资格审查和符合性审查合格的投标文件进行技术评估。</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同一</w:t>
      </w:r>
      <w:r>
        <w:rPr>
          <w:rFonts w:ascii="仿宋" w:hAnsi="仿宋" w:eastAsia="仿宋"/>
          <w:color w:val="auto"/>
          <w:sz w:val="24"/>
          <w:szCs w:val="24"/>
          <w:highlight w:val="none"/>
        </w:rPr>
        <w:t>合同项</w:t>
      </w:r>
      <w:r>
        <w:rPr>
          <w:rFonts w:hint="eastAsia" w:ascii="仿宋" w:hAnsi="仿宋" w:eastAsia="仿宋"/>
          <w:color w:val="auto"/>
          <w:sz w:val="24"/>
          <w:szCs w:val="24"/>
          <w:highlight w:val="none"/>
        </w:rPr>
        <w:t>（分包）</w:t>
      </w:r>
      <w:r>
        <w:rPr>
          <w:rFonts w:ascii="仿宋" w:hAnsi="仿宋" w:eastAsia="仿宋"/>
          <w:color w:val="auto"/>
          <w:sz w:val="24"/>
          <w:szCs w:val="24"/>
          <w:highlight w:val="none"/>
        </w:rPr>
        <w:t>下</w:t>
      </w:r>
      <w:r>
        <w:rPr>
          <w:rFonts w:hint="eastAsia" w:ascii="仿宋" w:hAnsi="仿宋" w:eastAsia="仿宋"/>
          <w:color w:val="auto"/>
          <w:sz w:val="24"/>
          <w:szCs w:val="24"/>
          <w:highlight w:val="none"/>
        </w:rPr>
        <w:t>为单一品目或非单一品目核心产品品牌的货物采购招标中，提供相同品牌产品且通过资格审查、符合性审查的不同投标人参加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0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olor w:val="auto"/>
          <w:sz w:val="24"/>
          <w:szCs w:val="24"/>
          <w:highlight w:val="none"/>
        </w:rPr>
        <w:t>评标委员会各成员独立对每个有效投标人（通过资格审查、</w:t>
      </w:r>
      <w:r>
        <w:rPr>
          <w:rFonts w:hint="eastAsia" w:ascii="仿宋" w:hAnsi="仿宋" w:eastAsia="仿宋" w:cs="宋体"/>
          <w:color w:val="auto"/>
          <w:kern w:val="0"/>
          <w:sz w:val="24"/>
          <w:szCs w:val="24"/>
          <w:highlight w:val="none"/>
        </w:rPr>
        <w:t>符合性审查的投标人</w:t>
      </w:r>
      <w:r>
        <w:rPr>
          <w:rFonts w:hint="eastAsia" w:ascii="仿宋" w:hAnsi="仿宋" w:eastAsia="仿宋"/>
          <w:color w:val="auto"/>
          <w:sz w:val="24"/>
          <w:szCs w:val="24"/>
          <w:highlight w:val="none"/>
        </w:rPr>
        <w:t>）的投标文件进行评价、打分，然后由评标委员会对各成员打分情况进行核查及复核，个别成员对同一投标人同一评分项的打分偏离较大的，应对投标人的投标文件进行再次核对，确属打</w:t>
      </w:r>
      <w:r>
        <w:rPr>
          <w:rFonts w:hint="eastAsia" w:ascii="仿宋" w:hAnsi="仿宋" w:eastAsia="仿宋" w:cs="Times New Roman"/>
          <w:color w:val="auto"/>
          <w:sz w:val="24"/>
          <w:szCs w:val="24"/>
          <w:highlight w:val="none"/>
        </w:rPr>
        <w:t>分有误的，应及时进行修正。</w:t>
      </w:r>
    </w:p>
    <w:p>
      <w:pPr>
        <w:snapToGrid w:val="0"/>
        <w:spacing w:line="40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复核后，评标委员会汇总每个投标人每项评分因素的得分。</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（四）推荐中标候选人名单。</w:t>
      </w:r>
    </w:p>
    <w:p>
      <w:pPr>
        <w:snapToGrid w:val="0"/>
        <w:spacing w:line="400" w:lineRule="exact"/>
        <w:ind w:firstLine="480" w:firstLineChars="200"/>
        <w:rPr>
          <w:rFonts w:hint="eastAsia" w:ascii="仿宋" w:hAnsi="仿宋" w:eastAsia="仿宋"/>
          <w:b/>
          <w:color w:val="auto"/>
          <w:sz w:val="24"/>
          <w:szCs w:val="24"/>
          <w:highlight w:val="none"/>
          <w:lang w:eastAsia="zh-CN"/>
        </w:rPr>
      </w:pPr>
      <w:r>
        <w:rPr>
          <w:rFonts w:hint="eastAsia" w:ascii="仿宋" w:hAnsi="仿宋" w:eastAsia="仿宋"/>
          <w:color w:val="auto"/>
          <w:sz w:val="24"/>
          <w:szCs w:val="24"/>
          <w:highlight w:val="none"/>
        </w:rPr>
        <w:t>按评审后得分由高到低的排列顺序</w:t>
      </w:r>
      <w:r>
        <w:rPr>
          <w:rFonts w:hint="eastAsia" w:ascii="仿宋" w:hAnsi="仿宋" w:eastAsia="仿宋" w:cs="宋体"/>
          <w:color w:val="auto"/>
          <w:kern w:val="0"/>
          <w:sz w:val="24"/>
          <w:szCs w:val="24"/>
          <w:highlight w:val="none"/>
        </w:rPr>
        <w:t>推荐综合得分排名前三的投标人为本项目中标候选人，</w:t>
      </w:r>
      <w:r>
        <w:rPr>
          <w:rFonts w:hint="eastAsia" w:ascii="仿宋" w:hAnsi="仿宋" w:eastAsia="仿宋"/>
          <w:color w:val="auto"/>
          <w:sz w:val="24"/>
          <w:szCs w:val="24"/>
          <w:highlight w:val="none"/>
        </w:rPr>
        <w:t>排名第一的为第一中标候选人。得分相同的，按投标报价由低到高顺序排列。得分且投标报价相同的并列。</w:t>
      </w:r>
      <w:bookmarkStart w:id="23" w:name="_Toc1061"/>
      <w:bookmarkStart w:id="24" w:name="_Toc492721017"/>
      <w:bookmarkStart w:id="25" w:name="_Toc267320057"/>
    </w:p>
    <w:p>
      <w:pPr>
        <w:numPr>
          <w:ilvl w:val="0"/>
          <w:numId w:val="17"/>
        </w:numPr>
        <w:snapToGrid w:val="0"/>
        <w:spacing w:line="400" w:lineRule="exact"/>
        <w:rPr>
          <w:rFonts w:hint="eastAsia" w:ascii="仿宋" w:hAnsi="仿宋" w:eastAsia="仿宋"/>
          <w:b/>
          <w:color w:val="auto"/>
          <w:sz w:val="24"/>
          <w:szCs w:val="24"/>
          <w:highlight w:val="none"/>
          <w:lang w:eastAsia="zh-CN"/>
        </w:rPr>
      </w:pPr>
      <w:r>
        <w:rPr>
          <w:rFonts w:hint="eastAsia" w:ascii="仿宋" w:hAnsi="仿宋" w:eastAsia="仿宋"/>
          <w:b/>
          <w:color w:val="auto"/>
          <w:sz w:val="24"/>
          <w:szCs w:val="24"/>
          <w:highlight w:val="none"/>
          <w:lang w:eastAsia="zh-CN"/>
        </w:rPr>
        <w:t>评标标准</w:t>
      </w:r>
      <w:bookmarkEnd w:id="23"/>
      <w:bookmarkEnd w:id="24"/>
      <w:bookmarkEnd w:id="25"/>
    </w:p>
    <w:tbl>
      <w:tblPr>
        <w:tblStyle w:val="58"/>
        <w:tblpPr w:leftFromText="180" w:rightFromText="180" w:vertAnchor="text" w:horzAnchor="page" w:tblpX="1720" w:tblpY="2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068"/>
        <w:gridCol w:w="477"/>
        <w:gridCol w:w="1275"/>
        <w:gridCol w:w="5556"/>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75" w:type="dxa"/>
            <w:noWrap w:val="0"/>
            <w:vAlign w:val="top"/>
          </w:tcPr>
          <w:p>
            <w:pPr>
              <w:pStyle w:val="67"/>
              <w:jc w:val="center"/>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rPr>
              <w:t>序号</w:t>
            </w:r>
          </w:p>
        </w:tc>
        <w:tc>
          <w:tcPr>
            <w:tcW w:w="1068" w:type="dxa"/>
            <w:noWrap w:val="0"/>
            <w:vAlign w:val="top"/>
          </w:tcPr>
          <w:p>
            <w:pPr>
              <w:pStyle w:val="67"/>
              <w:jc w:val="center"/>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rPr>
              <w:t>评分因素及权重</w:t>
            </w:r>
          </w:p>
        </w:tc>
        <w:tc>
          <w:tcPr>
            <w:tcW w:w="477" w:type="dxa"/>
            <w:noWrap w:val="0"/>
            <w:vAlign w:val="top"/>
          </w:tcPr>
          <w:p>
            <w:pPr>
              <w:pStyle w:val="67"/>
              <w:jc w:val="center"/>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rPr>
              <w:t>分值</w:t>
            </w:r>
          </w:p>
        </w:tc>
        <w:tc>
          <w:tcPr>
            <w:tcW w:w="6831" w:type="dxa"/>
            <w:gridSpan w:val="2"/>
            <w:noWrap w:val="0"/>
            <w:vAlign w:val="top"/>
          </w:tcPr>
          <w:p>
            <w:pPr>
              <w:pStyle w:val="67"/>
              <w:jc w:val="center"/>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rPr>
              <w:t>评分标准</w:t>
            </w:r>
          </w:p>
        </w:tc>
        <w:tc>
          <w:tcPr>
            <w:tcW w:w="777" w:type="dxa"/>
            <w:noWrap w:val="0"/>
            <w:vAlign w:val="top"/>
          </w:tcPr>
          <w:p>
            <w:pPr>
              <w:pStyle w:val="67"/>
              <w:jc w:val="center"/>
              <w:rPr>
                <w:rFonts w:hint="eastAsia" w:ascii="仿宋" w:hAnsi="仿宋" w:eastAsia="仿宋" w:cs="仿宋"/>
                <w:color w:val="auto"/>
                <w:sz w:val="21"/>
                <w:szCs w:val="21"/>
                <w:highlight w:val="none"/>
                <w:vertAlign w:val="baseline"/>
              </w:rPr>
            </w:pPr>
            <w:r>
              <w:rPr>
                <w:rFonts w:hint="eastAsia" w:ascii="仿宋" w:hAnsi="仿宋" w:eastAsia="仿宋" w:cs="仿宋"/>
                <w:b/>
                <w:bCs/>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475" w:type="dxa"/>
            <w:vMerge w:val="restart"/>
            <w:noWrap w:val="0"/>
            <w:vAlign w:val="center"/>
          </w:tcPr>
          <w:p>
            <w:pPr>
              <w:pStyle w:val="67"/>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w:t>
            </w:r>
          </w:p>
        </w:tc>
        <w:tc>
          <w:tcPr>
            <w:tcW w:w="1068" w:type="dxa"/>
            <w:vMerge w:val="restart"/>
            <w:noWrap w:val="0"/>
            <w:vAlign w:val="center"/>
          </w:tcPr>
          <w:p>
            <w:pPr>
              <w:pStyle w:val="12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投标</w:t>
            </w:r>
          </w:p>
          <w:p>
            <w:pPr>
              <w:pStyle w:val="12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报价</w:t>
            </w:r>
          </w:p>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w:t>
            </w:r>
            <w:r>
              <w:rPr>
                <w:rFonts w:hint="eastAsia" w:eastAsia="仿宋" w:cs="仿宋"/>
                <w:color w:val="auto"/>
                <w:kern w:val="0"/>
                <w:sz w:val="21"/>
                <w:szCs w:val="21"/>
                <w:highlight w:val="none"/>
                <w:lang w:val="en-US" w:eastAsia="zh-CN" w:bidi="ar-SA"/>
              </w:rPr>
              <w:t>6</w:t>
            </w:r>
            <w:r>
              <w:rPr>
                <w:rFonts w:hint="eastAsia" w:ascii="仿宋" w:hAnsi="仿宋" w:eastAsia="仿宋" w:cs="仿宋"/>
                <w:color w:val="auto"/>
                <w:kern w:val="0"/>
                <w:sz w:val="21"/>
                <w:szCs w:val="21"/>
                <w:highlight w:val="none"/>
                <w:lang w:val="en-US" w:eastAsia="zh-CN" w:bidi="ar-SA"/>
              </w:rPr>
              <w:t>0%）</w:t>
            </w:r>
          </w:p>
        </w:tc>
        <w:tc>
          <w:tcPr>
            <w:tcW w:w="477" w:type="dxa"/>
            <w:vMerge w:val="restart"/>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eastAsia="仿宋" w:cs="仿宋"/>
                <w:color w:val="auto"/>
                <w:kern w:val="0"/>
                <w:sz w:val="21"/>
                <w:szCs w:val="21"/>
                <w:highlight w:val="none"/>
                <w:lang w:val="en-US" w:eastAsia="zh-CN" w:bidi="ar-SA"/>
              </w:rPr>
              <w:t>60</w:t>
            </w:r>
            <w:r>
              <w:rPr>
                <w:rFonts w:hint="eastAsia" w:ascii="仿宋" w:hAnsi="仿宋" w:eastAsia="仿宋" w:cs="仿宋"/>
                <w:color w:val="auto"/>
                <w:kern w:val="0"/>
                <w:sz w:val="21"/>
                <w:szCs w:val="21"/>
                <w:highlight w:val="none"/>
                <w:lang w:val="en-US" w:eastAsia="zh-CN" w:bidi="ar-SA"/>
              </w:rPr>
              <w:t>分</w:t>
            </w:r>
          </w:p>
        </w:tc>
        <w:tc>
          <w:tcPr>
            <w:tcW w:w="1275" w:type="dxa"/>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评标基准价计算方法</w:t>
            </w:r>
          </w:p>
        </w:tc>
        <w:tc>
          <w:tcPr>
            <w:tcW w:w="5556" w:type="dxa"/>
            <w:noWrap w:val="0"/>
            <w:vAlign w:val="center"/>
          </w:tcPr>
          <w:p>
            <w:pPr>
              <w:pStyle w:val="122"/>
              <w:keepNext w:val="0"/>
              <w:keepLines w:val="0"/>
              <w:pageBreakBefore w:val="0"/>
              <w:widowControl w:val="0"/>
              <w:kinsoku/>
              <w:wordWrap/>
              <w:overflowPunct/>
              <w:topLinePunct w:val="0"/>
              <w:autoSpaceDE/>
              <w:autoSpaceDN/>
              <w:bidi w:val="0"/>
              <w:adjustRightInd/>
              <w:snapToGrid/>
              <w:spacing w:line="260" w:lineRule="exact"/>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所有通过资格及符合性审查的投标人的投标总报价中去掉六分之一（不能整除的按小数点前整数取整，不足六家报价则不去掉）的最低价和相同家数的最高价后的算术平均值作为评标基准价。</w:t>
            </w:r>
          </w:p>
          <w:p>
            <w:pPr>
              <w:pStyle w:val="122"/>
              <w:keepNext w:val="0"/>
              <w:keepLines w:val="0"/>
              <w:pageBreakBefore w:val="0"/>
              <w:widowControl w:val="0"/>
              <w:kinsoku/>
              <w:wordWrap/>
              <w:overflowPunct/>
              <w:topLinePunct w:val="0"/>
              <w:autoSpaceDE/>
              <w:autoSpaceDN/>
              <w:bidi w:val="0"/>
              <w:adjustRightInd/>
              <w:snapToGrid/>
              <w:spacing w:line="260" w:lineRule="exact"/>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在评标基准价计算完成后（除计算错误外），在后续的评审中不得再对其做出调整。</w:t>
            </w:r>
          </w:p>
        </w:tc>
        <w:tc>
          <w:tcPr>
            <w:tcW w:w="777" w:type="dxa"/>
            <w:vMerge w:val="restart"/>
            <w:noWrap w:val="0"/>
            <w:textDirection w:val="tbRlV"/>
            <w:vAlign w:val="center"/>
          </w:tcPr>
          <w:p>
            <w:pPr>
              <w:pStyle w:val="67"/>
              <w:ind w:left="113" w:right="113"/>
              <w:jc w:val="center"/>
              <w:rPr>
                <w:rFonts w:hint="eastAsia" w:ascii="仿宋" w:hAnsi="仿宋" w:eastAsia="仿宋" w:cs="仿宋"/>
                <w:color w:val="auto"/>
                <w:kern w:val="2"/>
                <w:sz w:val="21"/>
                <w:szCs w:val="21"/>
                <w:highlight w:val="none"/>
                <w:lang w:val="en-US" w:eastAsia="zh-CN" w:bidi="ar-SA"/>
              </w:rPr>
            </w:pPr>
          </w:p>
          <w:p>
            <w:pPr>
              <w:pStyle w:val="67"/>
              <w:ind w:left="113" w:right="113"/>
              <w:jc w:val="both"/>
              <w:rPr>
                <w:rFonts w:hint="eastAsia" w:ascii="仿宋" w:hAnsi="仿宋" w:eastAsia="仿宋" w:cs="仿宋"/>
                <w:color w:val="auto"/>
                <w:sz w:val="21"/>
                <w:szCs w:val="21"/>
                <w:highlight w:val="none"/>
                <w:vertAlign w:val="baseline"/>
              </w:rPr>
            </w:pPr>
            <w:r>
              <w:rPr>
                <w:rFonts w:hint="eastAsia" w:ascii="仿宋" w:hAnsi="仿宋" w:eastAsia="仿宋" w:cs="仿宋"/>
                <w:color w:val="auto"/>
                <w:kern w:val="2"/>
                <w:sz w:val="21"/>
                <w:szCs w:val="21"/>
                <w:highlight w:val="none"/>
                <w:lang w:val="en-US" w:eastAsia="zh-CN" w:bidi="ar-SA"/>
              </w:rPr>
              <w:t>计算的结果取小数点后两位，第三位四舍五入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Merge w:val="continue"/>
            <w:noWrap w:val="0"/>
            <w:vAlign w:val="top"/>
          </w:tcPr>
          <w:p>
            <w:pPr>
              <w:pStyle w:val="67"/>
              <w:jc w:val="both"/>
              <w:rPr>
                <w:rFonts w:hint="eastAsia" w:ascii="仿宋" w:hAnsi="仿宋" w:eastAsia="仿宋" w:cs="仿宋"/>
                <w:color w:val="auto"/>
                <w:sz w:val="21"/>
                <w:szCs w:val="21"/>
                <w:highlight w:val="none"/>
                <w:vertAlign w:val="baseline"/>
              </w:rPr>
            </w:pPr>
          </w:p>
        </w:tc>
        <w:tc>
          <w:tcPr>
            <w:tcW w:w="1068" w:type="dxa"/>
            <w:vMerge w:val="continue"/>
            <w:noWrap w:val="0"/>
            <w:vAlign w:val="top"/>
          </w:tcPr>
          <w:p>
            <w:pPr>
              <w:pStyle w:val="67"/>
              <w:jc w:val="both"/>
              <w:rPr>
                <w:rFonts w:hint="eastAsia" w:ascii="仿宋" w:hAnsi="仿宋" w:eastAsia="仿宋" w:cs="仿宋"/>
                <w:color w:val="auto"/>
                <w:kern w:val="0"/>
                <w:sz w:val="21"/>
                <w:szCs w:val="21"/>
                <w:highlight w:val="none"/>
                <w:lang w:val="en-US" w:eastAsia="zh-CN" w:bidi="ar-SA"/>
              </w:rPr>
            </w:pPr>
          </w:p>
        </w:tc>
        <w:tc>
          <w:tcPr>
            <w:tcW w:w="477" w:type="dxa"/>
            <w:vMerge w:val="continue"/>
            <w:noWrap w:val="0"/>
            <w:vAlign w:val="top"/>
          </w:tcPr>
          <w:p>
            <w:pPr>
              <w:pStyle w:val="67"/>
              <w:jc w:val="both"/>
              <w:rPr>
                <w:rFonts w:hint="eastAsia" w:ascii="仿宋" w:hAnsi="仿宋" w:eastAsia="仿宋" w:cs="仿宋"/>
                <w:color w:val="auto"/>
                <w:kern w:val="0"/>
                <w:sz w:val="21"/>
                <w:szCs w:val="21"/>
                <w:highlight w:val="none"/>
                <w:lang w:val="en-US" w:eastAsia="zh-CN" w:bidi="ar-SA"/>
              </w:rPr>
            </w:pPr>
          </w:p>
        </w:tc>
        <w:tc>
          <w:tcPr>
            <w:tcW w:w="1275" w:type="dxa"/>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投标报价的偏差率计算公式</w:t>
            </w:r>
          </w:p>
        </w:tc>
        <w:tc>
          <w:tcPr>
            <w:tcW w:w="5556" w:type="dxa"/>
            <w:noWrap w:val="0"/>
            <w:vAlign w:val="center"/>
          </w:tcPr>
          <w:p>
            <w:pPr>
              <w:pStyle w:val="67"/>
              <w:jc w:val="left"/>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偏差率=100％×（投标报价一评标基准价）／评标基准价</w:t>
            </w:r>
          </w:p>
        </w:tc>
        <w:tc>
          <w:tcPr>
            <w:tcW w:w="777" w:type="dxa"/>
            <w:vMerge w:val="continue"/>
            <w:noWrap w:val="0"/>
            <w:vAlign w:val="top"/>
          </w:tcPr>
          <w:p>
            <w:pPr>
              <w:pStyle w:val="67"/>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75" w:type="dxa"/>
            <w:vMerge w:val="continue"/>
            <w:noWrap w:val="0"/>
            <w:vAlign w:val="top"/>
          </w:tcPr>
          <w:p>
            <w:pPr>
              <w:pStyle w:val="67"/>
              <w:jc w:val="both"/>
              <w:rPr>
                <w:rFonts w:hint="eastAsia" w:ascii="仿宋" w:hAnsi="仿宋" w:eastAsia="仿宋" w:cs="仿宋"/>
                <w:color w:val="auto"/>
                <w:sz w:val="21"/>
                <w:szCs w:val="21"/>
                <w:highlight w:val="none"/>
                <w:vertAlign w:val="baseline"/>
              </w:rPr>
            </w:pPr>
          </w:p>
        </w:tc>
        <w:tc>
          <w:tcPr>
            <w:tcW w:w="1068" w:type="dxa"/>
            <w:vMerge w:val="continue"/>
            <w:noWrap w:val="0"/>
            <w:vAlign w:val="top"/>
          </w:tcPr>
          <w:p>
            <w:pPr>
              <w:pStyle w:val="67"/>
              <w:jc w:val="both"/>
              <w:rPr>
                <w:rFonts w:hint="eastAsia" w:ascii="仿宋" w:hAnsi="仿宋" w:eastAsia="仿宋" w:cs="仿宋"/>
                <w:color w:val="auto"/>
                <w:kern w:val="0"/>
                <w:sz w:val="21"/>
                <w:szCs w:val="21"/>
                <w:highlight w:val="none"/>
                <w:lang w:val="en-US" w:eastAsia="zh-CN" w:bidi="ar-SA"/>
              </w:rPr>
            </w:pPr>
          </w:p>
        </w:tc>
        <w:tc>
          <w:tcPr>
            <w:tcW w:w="477" w:type="dxa"/>
            <w:vMerge w:val="continue"/>
            <w:noWrap w:val="0"/>
            <w:vAlign w:val="top"/>
          </w:tcPr>
          <w:p>
            <w:pPr>
              <w:pStyle w:val="67"/>
              <w:jc w:val="both"/>
              <w:rPr>
                <w:rFonts w:hint="eastAsia" w:ascii="仿宋" w:hAnsi="仿宋" w:eastAsia="仿宋" w:cs="仿宋"/>
                <w:color w:val="auto"/>
                <w:kern w:val="0"/>
                <w:sz w:val="21"/>
                <w:szCs w:val="21"/>
                <w:highlight w:val="none"/>
                <w:lang w:val="en-US" w:eastAsia="zh-CN" w:bidi="ar-SA"/>
              </w:rPr>
            </w:pPr>
          </w:p>
        </w:tc>
        <w:tc>
          <w:tcPr>
            <w:tcW w:w="1275" w:type="dxa"/>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投标总报价得分</w:t>
            </w:r>
          </w:p>
        </w:tc>
        <w:tc>
          <w:tcPr>
            <w:tcW w:w="5556" w:type="dxa"/>
            <w:noWrap w:val="0"/>
            <w:vAlign w:val="center"/>
          </w:tcPr>
          <w:p>
            <w:pPr>
              <w:pStyle w:val="122"/>
              <w:keepNext w:val="0"/>
              <w:keepLines w:val="0"/>
              <w:pageBreakBefore w:val="0"/>
              <w:widowControl w:val="0"/>
              <w:kinsoku/>
              <w:wordWrap/>
              <w:overflowPunct/>
              <w:topLinePunct w:val="0"/>
              <w:autoSpaceDE/>
              <w:autoSpaceDN/>
              <w:bidi w:val="0"/>
              <w:adjustRightInd/>
              <w:snapToGrid/>
              <w:spacing w:line="260" w:lineRule="exact"/>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所有通过资格及符合性审查的投标人的投标总报价，得本表规定分值的满分 60 分。在此基础上，投标总报价与评标基准价相比，每增加1%扣　0.2　分，每减少1%扣　0.1　分，扣完为止。</w:t>
            </w:r>
          </w:p>
          <w:p>
            <w:pPr>
              <w:pStyle w:val="122"/>
              <w:keepNext w:val="0"/>
              <w:keepLines w:val="0"/>
              <w:pageBreakBefore w:val="0"/>
              <w:widowControl w:val="0"/>
              <w:kinsoku/>
              <w:wordWrap/>
              <w:overflowPunct/>
              <w:topLinePunct w:val="0"/>
              <w:autoSpaceDE/>
              <w:autoSpaceDN/>
              <w:bidi w:val="0"/>
              <w:adjustRightInd/>
              <w:snapToGrid/>
              <w:spacing w:line="260" w:lineRule="exact"/>
              <w:ind w:firstLine="210"/>
              <w:jc w:val="left"/>
              <w:textAlignment w:val="auto"/>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按插入法计算得分。未参与评标基准价计算的投标报价，仍应参加计算相应分值。</w:t>
            </w:r>
          </w:p>
        </w:tc>
        <w:tc>
          <w:tcPr>
            <w:tcW w:w="777" w:type="dxa"/>
            <w:vMerge w:val="continue"/>
            <w:noWrap w:val="0"/>
            <w:vAlign w:val="top"/>
          </w:tcPr>
          <w:p>
            <w:pPr>
              <w:pStyle w:val="67"/>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475" w:type="dxa"/>
            <w:vMerge w:val="restart"/>
            <w:noWrap w:val="0"/>
            <w:vAlign w:val="center"/>
          </w:tcPr>
          <w:p>
            <w:pPr>
              <w:pStyle w:val="67"/>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1068" w:type="dxa"/>
            <w:vMerge w:val="restart"/>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技术部分</w:t>
            </w:r>
            <w:r>
              <w:rPr>
                <w:rFonts w:hint="eastAsia" w:eastAsia="仿宋" w:cs="仿宋"/>
                <w:color w:val="auto"/>
                <w:kern w:val="0"/>
                <w:sz w:val="21"/>
                <w:szCs w:val="21"/>
                <w:highlight w:val="none"/>
                <w:lang w:val="en-US" w:eastAsia="zh-CN" w:bidi="ar-SA"/>
              </w:rPr>
              <w:t>（服务方案）</w:t>
            </w:r>
            <w:r>
              <w:rPr>
                <w:rFonts w:hint="eastAsia" w:ascii="仿宋" w:hAnsi="仿宋" w:eastAsia="仿宋" w:cs="仿宋"/>
                <w:color w:val="auto"/>
                <w:kern w:val="0"/>
                <w:sz w:val="21"/>
                <w:szCs w:val="21"/>
                <w:highlight w:val="none"/>
                <w:lang w:val="en-US" w:eastAsia="zh-CN" w:bidi="ar-SA"/>
              </w:rPr>
              <w:t>评分标准（</w:t>
            </w:r>
            <w:r>
              <w:rPr>
                <w:rFonts w:hint="eastAsia" w:eastAsia="仿宋" w:cs="仿宋"/>
                <w:color w:val="auto"/>
                <w:kern w:val="0"/>
                <w:sz w:val="21"/>
                <w:szCs w:val="21"/>
                <w:highlight w:val="none"/>
                <w:lang w:val="en-US" w:eastAsia="zh-CN" w:bidi="ar-SA"/>
              </w:rPr>
              <w:t>4</w:t>
            </w:r>
            <w:r>
              <w:rPr>
                <w:rFonts w:hint="eastAsia" w:ascii="仿宋" w:hAnsi="仿宋" w:eastAsia="仿宋" w:cs="仿宋"/>
                <w:color w:val="auto"/>
                <w:kern w:val="0"/>
                <w:sz w:val="21"/>
                <w:szCs w:val="21"/>
                <w:highlight w:val="none"/>
                <w:lang w:val="en-US" w:eastAsia="zh-CN" w:bidi="ar-SA"/>
              </w:rPr>
              <w:t>0%）</w:t>
            </w:r>
          </w:p>
        </w:tc>
        <w:tc>
          <w:tcPr>
            <w:tcW w:w="1752" w:type="dxa"/>
            <w:gridSpan w:val="2"/>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供货计划及保证措施（</w:t>
            </w:r>
            <w:r>
              <w:rPr>
                <w:rFonts w:hint="eastAsia" w:eastAsia="仿宋" w:cs="仿宋"/>
                <w:color w:val="auto"/>
                <w:kern w:val="0"/>
                <w:sz w:val="21"/>
                <w:szCs w:val="21"/>
                <w:highlight w:val="none"/>
                <w:lang w:val="en-US" w:eastAsia="zh-CN" w:bidi="ar-SA"/>
              </w:rPr>
              <w:t>15</w:t>
            </w:r>
            <w:r>
              <w:rPr>
                <w:rFonts w:hint="eastAsia" w:ascii="仿宋" w:hAnsi="仿宋" w:eastAsia="仿宋" w:cs="仿宋"/>
                <w:color w:val="auto"/>
                <w:kern w:val="0"/>
                <w:sz w:val="21"/>
                <w:szCs w:val="21"/>
                <w:highlight w:val="none"/>
                <w:lang w:val="en-US" w:eastAsia="zh-CN" w:bidi="ar-SA"/>
              </w:rPr>
              <w:t>分）</w:t>
            </w:r>
          </w:p>
        </w:tc>
        <w:tc>
          <w:tcPr>
            <w:tcW w:w="5556" w:type="dxa"/>
            <w:noWrap w:val="0"/>
            <w:vAlign w:val="center"/>
          </w:tcPr>
          <w:p>
            <w:pPr>
              <w:ind w:left="133" w:leftChars="41" w:hanging="18" w:hangingChars="9"/>
              <w:jc w:val="left"/>
              <w:rPr>
                <w:rFonts w:hint="default"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供货计划保证措施得力、得当.</w:t>
            </w:r>
          </w:p>
          <w:p>
            <w:pPr>
              <w:ind w:left="134" w:leftChars="41" w:hanging="19" w:hangingChars="9"/>
              <w:jc w:val="left"/>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2"/>
                <w:szCs w:val="22"/>
                <w:highlight w:val="none"/>
                <w:lang w:val="en-US" w:eastAsia="zh-CN"/>
              </w:rPr>
              <w:t>优:15</w:t>
            </w:r>
            <w:r>
              <w:rPr>
                <w:rFonts w:hint="eastAsia" w:ascii="仿宋" w:hAnsi="仿宋" w:eastAsia="仿宋" w:cs="仿宋"/>
                <w:color w:val="auto"/>
                <w:kern w:val="0"/>
                <w:sz w:val="21"/>
                <w:szCs w:val="21"/>
                <w:highlight w:val="none"/>
                <w:lang w:val="en-US" w:eastAsia="zh-CN" w:bidi="ar-SA"/>
              </w:rPr>
              <w:t>～</w:t>
            </w:r>
            <w:r>
              <w:rPr>
                <w:rFonts w:hint="eastAsia" w:ascii="仿宋" w:hAnsi="仿宋" w:eastAsia="仿宋" w:cs="仿宋"/>
                <w:color w:val="auto"/>
                <w:kern w:val="0"/>
                <w:sz w:val="22"/>
                <w:szCs w:val="22"/>
                <w:highlight w:val="none"/>
                <w:lang w:val="en-US" w:eastAsia="zh-CN"/>
              </w:rPr>
              <w:t>10分，良9.9</w:t>
            </w:r>
            <w:r>
              <w:rPr>
                <w:rFonts w:hint="eastAsia" w:ascii="仿宋" w:hAnsi="仿宋" w:eastAsia="仿宋" w:cs="仿宋"/>
                <w:color w:val="auto"/>
                <w:kern w:val="0"/>
                <w:sz w:val="21"/>
                <w:szCs w:val="21"/>
                <w:highlight w:val="none"/>
                <w:lang w:val="en-US" w:eastAsia="zh-CN" w:bidi="ar-SA"/>
              </w:rPr>
              <w:t>～</w:t>
            </w:r>
            <w:r>
              <w:rPr>
                <w:rFonts w:hint="eastAsia" w:ascii="仿宋" w:hAnsi="仿宋" w:eastAsia="仿宋" w:cs="仿宋"/>
                <w:color w:val="auto"/>
                <w:kern w:val="0"/>
                <w:sz w:val="22"/>
                <w:szCs w:val="22"/>
                <w:highlight w:val="none"/>
                <w:lang w:val="en-US" w:eastAsia="zh-CN"/>
              </w:rPr>
              <w:t>5分，一般：4.9</w:t>
            </w:r>
            <w:r>
              <w:rPr>
                <w:rFonts w:hint="eastAsia" w:ascii="仿宋" w:hAnsi="仿宋" w:eastAsia="仿宋" w:cs="仿宋"/>
                <w:color w:val="auto"/>
                <w:kern w:val="0"/>
                <w:sz w:val="21"/>
                <w:szCs w:val="21"/>
                <w:highlight w:val="none"/>
                <w:lang w:val="en-US" w:eastAsia="zh-CN" w:bidi="ar-SA"/>
              </w:rPr>
              <w:t>～</w:t>
            </w:r>
            <w:r>
              <w:rPr>
                <w:rFonts w:hint="eastAsia" w:ascii="仿宋" w:hAnsi="仿宋" w:eastAsia="仿宋" w:cs="仿宋"/>
                <w:color w:val="auto"/>
                <w:kern w:val="0"/>
                <w:sz w:val="22"/>
                <w:szCs w:val="22"/>
                <w:highlight w:val="none"/>
                <w:lang w:val="en-US" w:eastAsia="zh-CN"/>
              </w:rPr>
              <w:t xml:space="preserve">0分 </w:t>
            </w:r>
          </w:p>
        </w:tc>
        <w:tc>
          <w:tcPr>
            <w:tcW w:w="777" w:type="dxa"/>
            <w:vMerge w:val="restart"/>
            <w:noWrap w:val="0"/>
            <w:vAlign w:val="center"/>
          </w:tcPr>
          <w:p>
            <w:pPr>
              <w:pStyle w:val="67"/>
              <w:jc w:val="center"/>
              <w:rPr>
                <w:rFonts w:hint="default" w:ascii="仿宋" w:hAnsi="仿宋" w:eastAsia="仿宋" w:cs="仿宋"/>
                <w:color w:val="auto"/>
                <w:sz w:val="21"/>
                <w:szCs w:val="21"/>
                <w:highlight w:val="none"/>
                <w:vertAlign w:val="baseline"/>
                <w:lang w:val="en-US" w:eastAsia="zh-CN"/>
              </w:rPr>
            </w:pPr>
            <w:r>
              <w:rPr>
                <w:rFonts w:hint="eastAsia" w:eastAsia="仿宋" w:cs="仿宋"/>
                <w:color w:val="auto"/>
                <w:sz w:val="21"/>
                <w:szCs w:val="21"/>
                <w:highlight w:val="none"/>
                <w:vertAlign w:val="baseline"/>
                <w:lang w:val="en-US" w:eastAsia="zh-CN"/>
              </w:rPr>
              <w:t>服务方案不得超过50页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475" w:type="dxa"/>
            <w:vMerge w:val="continue"/>
            <w:noWrap w:val="0"/>
            <w:vAlign w:val="center"/>
          </w:tcPr>
          <w:p>
            <w:pPr>
              <w:pStyle w:val="67"/>
              <w:jc w:val="center"/>
              <w:rPr>
                <w:rFonts w:hint="eastAsia" w:ascii="仿宋" w:hAnsi="仿宋" w:eastAsia="仿宋" w:cs="仿宋"/>
                <w:color w:val="auto"/>
                <w:sz w:val="21"/>
                <w:szCs w:val="21"/>
                <w:highlight w:val="none"/>
                <w:vertAlign w:val="baseline"/>
              </w:rPr>
            </w:pPr>
          </w:p>
        </w:tc>
        <w:tc>
          <w:tcPr>
            <w:tcW w:w="1068" w:type="dxa"/>
            <w:vMerge w:val="continue"/>
            <w:noWrap w:val="0"/>
            <w:vAlign w:val="center"/>
          </w:tcPr>
          <w:p>
            <w:pPr>
              <w:pStyle w:val="67"/>
              <w:jc w:val="center"/>
              <w:rPr>
                <w:rFonts w:hint="eastAsia" w:ascii="仿宋" w:hAnsi="仿宋" w:eastAsia="仿宋" w:cs="仿宋"/>
                <w:color w:val="auto"/>
                <w:kern w:val="0"/>
                <w:sz w:val="21"/>
                <w:szCs w:val="21"/>
                <w:highlight w:val="none"/>
                <w:lang w:val="en-US" w:eastAsia="zh-CN" w:bidi="ar-SA"/>
              </w:rPr>
            </w:pPr>
          </w:p>
        </w:tc>
        <w:tc>
          <w:tcPr>
            <w:tcW w:w="1752" w:type="dxa"/>
            <w:gridSpan w:val="2"/>
            <w:noWrap w:val="0"/>
            <w:vAlign w:val="center"/>
          </w:tcPr>
          <w:p>
            <w:pPr>
              <w:pStyle w:val="50"/>
              <w:keepNext w:val="0"/>
              <w:keepLines w:val="0"/>
              <w:widowControl/>
              <w:suppressLineNumbers w:val="0"/>
              <w:spacing w:before="100" w:beforeAutospacing="1" w:after="100" w:afterAutospacing="1"/>
              <w:ind w:left="0" w:right="0"/>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 xml:space="preserve">产品介绍及质量、使用功能（10分） </w:t>
            </w:r>
          </w:p>
        </w:tc>
        <w:tc>
          <w:tcPr>
            <w:tcW w:w="5556" w:type="dxa"/>
            <w:noWrap w:val="0"/>
            <w:vAlign w:val="center"/>
          </w:tcPr>
          <w:p>
            <w:pPr>
              <w:pStyle w:val="67"/>
              <w:jc w:val="both"/>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产品质量符合要求，使用功能能够满足要求。</w:t>
            </w:r>
          </w:p>
          <w:p>
            <w:pPr>
              <w:pStyle w:val="67"/>
              <w:jc w:val="both"/>
              <w:rPr>
                <w:rFonts w:hint="default"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好10.0～7.0分、较好6.9～3.4分、一般3.3～0分</w:t>
            </w:r>
          </w:p>
        </w:tc>
        <w:tc>
          <w:tcPr>
            <w:tcW w:w="777" w:type="dxa"/>
            <w:vMerge w:val="continue"/>
            <w:noWrap w:val="0"/>
            <w:vAlign w:val="top"/>
          </w:tcPr>
          <w:p>
            <w:pPr>
              <w:pStyle w:val="67"/>
              <w:jc w:val="both"/>
              <w:rPr>
                <w:rFonts w:hint="eastAsia" w:ascii="仿宋" w:hAnsi="仿宋" w:eastAsia="仿宋" w:cs="仿宋"/>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475" w:type="dxa"/>
            <w:vMerge w:val="continue"/>
            <w:noWrap w:val="0"/>
            <w:vAlign w:val="center"/>
          </w:tcPr>
          <w:p>
            <w:pPr>
              <w:pStyle w:val="67"/>
              <w:jc w:val="center"/>
              <w:rPr>
                <w:rFonts w:hint="eastAsia" w:ascii="仿宋" w:hAnsi="仿宋" w:eastAsia="仿宋" w:cs="仿宋"/>
                <w:color w:val="auto"/>
                <w:sz w:val="21"/>
                <w:szCs w:val="21"/>
                <w:highlight w:val="none"/>
                <w:vertAlign w:val="baseline"/>
              </w:rPr>
            </w:pPr>
          </w:p>
        </w:tc>
        <w:tc>
          <w:tcPr>
            <w:tcW w:w="1068" w:type="dxa"/>
            <w:vMerge w:val="continue"/>
            <w:noWrap w:val="0"/>
            <w:vAlign w:val="center"/>
          </w:tcPr>
          <w:p>
            <w:pPr>
              <w:pStyle w:val="67"/>
              <w:jc w:val="center"/>
              <w:rPr>
                <w:rFonts w:hint="eastAsia" w:ascii="仿宋" w:hAnsi="仿宋" w:eastAsia="仿宋" w:cs="仿宋"/>
                <w:color w:val="auto"/>
                <w:kern w:val="0"/>
                <w:sz w:val="21"/>
                <w:szCs w:val="21"/>
                <w:highlight w:val="none"/>
                <w:lang w:val="en-US" w:eastAsia="zh-CN" w:bidi="ar-SA"/>
              </w:rPr>
            </w:pPr>
          </w:p>
        </w:tc>
        <w:tc>
          <w:tcPr>
            <w:tcW w:w="1752" w:type="dxa"/>
            <w:gridSpan w:val="2"/>
            <w:noWrap w:val="0"/>
            <w:vAlign w:val="center"/>
          </w:tcPr>
          <w:p>
            <w:pPr>
              <w:pStyle w:val="67"/>
              <w:jc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质量保证措施（1</w:t>
            </w:r>
            <w:r>
              <w:rPr>
                <w:rFonts w:hint="eastAsia" w:eastAsia="仿宋" w:cs="仿宋"/>
                <w:color w:val="auto"/>
                <w:kern w:val="0"/>
                <w:sz w:val="21"/>
                <w:szCs w:val="21"/>
                <w:highlight w:val="none"/>
                <w:lang w:val="en-US" w:eastAsia="zh-CN" w:bidi="ar-SA"/>
              </w:rPr>
              <w:t>5</w:t>
            </w:r>
            <w:r>
              <w:rPr>
                <w:rFonts w:hint="eastAsia" w:ascii="仿宋" w:hAnsi="仿宋" w:eastAsia="仿宋" w:cs="仿宋"/>
                <w:color w:val="auto"/>
                <w:kern w:val="0"/>
                <w:sz w:val="21"/>
                <w:szCs w:val="21"/>
                <w:highlight w:val="none"/>
                <w:lang w:val="en-US" w:eastAsia="zh-CN" w:bidi="ar-SA"/>
              </w:rPr>
              <w:t>分）</w:t>
            </w:r>
          </w:p>
        </w:tc>
        <w:tc>
          <w:tcPr>
            <w:tcW w:w="5556" w:type="dxa"/>
            <w:noWrap w:val="0"/>
            <w:vAlign w:val="center"/>
          </w:tcPr>
          <w:p>
            <w:pPr>
              <w:ind w:left="133" w:leftChars="41" w:hanging="18" w:hangingChars="9"/>
              <w:jc w:val="left"/>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1"/>
                <w:szCs w:val="21"/>
                <w:highlight w:val="none"/>
                <w:lang w:val="en-US" w:eastAsia="zh-CN" w:bidi="ar-SA"/>
              </w:rPr>
              <w:t>质量保证措施得力、得当。</w:t>
            </w:r>
          </w:p>
          <w:p>
            <w:pPr>
              <w:pStyle w:val="67"/>
              <w:jc w:val="both"/>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kern w:val="0"/>
                <w:sz w:val="22"/>
                <w:szCs w:val="22"/>
                <w:highlight w:val="none"/>
                <w:lang w:val="en-US" w:eastAsia="zh-CN"/>
              </w:rPr>
              <w:t>优:15</w:t>
            </w:r>
            <w:r>
              <w:rPr>
                <w:rFonts w:hint="eastAsia" w:ascii="仿宋" w:hAnsi="仿宋" w:eastAsia="仿宋" w:cs="仿宋"/>
                <w:color w:val="auto"/>
                <w:kern w:val="0"/>
                <w:sz w:val="21"/>
                <w:szCs w:val="21"/>
                <w:highlight w:val="none"/>
                <w:lang w:val="en-US" w:eastAsia="zh-CN" w:bidi="ar-SA"/>
              </w:rPr>
              <w:t>～</w:t>
            </w:r>
            <w:r>
              <w:rPr>
                <w:rFonts w:hint="eastAsia" w:ascii="仿宋" w:hAnsi="仿宋" w:eastAsia="仿宋" w:cs="仿宋"/>
                <w:color w:val="auto"/>
                <w:kern w:val="0"/>
                <w:sz w:val="22"/>
                <w:szCs w:val="22"/>
                <w:highlight w:val="none"/>
                <w:lang w:val="en-US" w:eastAsia="zh-CN"/>
              </w:rPr>
              <w:t>10分，良9.9</w:t>
            </w:r>
            <w:r>
              <w:rPr>
                <w:rFonts w:hint="eastAsia" w:ascii="仿宋" w:hAnsi="仿宋" w:eastAsia="仿宋" w:cs="仿宋"/>
                <w:color w:val="auto"/>
                <w:kern w:val="0"/>
                <w:sz w:val="21"/>
                <w:szCs w:val="21"/>
                <w:highlight w:val="none"/>
                <w:lang w:val="en-US" w:eastAsia="zh-CN" w:bidi="ar-SA"/>
              </w:rPr>
              <w:t>～</w:t>
            </w:r>
            <w:r>
              <w:rPr>
                <w:rFonts w:hint="eastAsia" w:ascii="仿宋" w:hAnsi="仿宋" w:eastAsia="仿宋" w:cs="仿宋"/>
                <w:color w:val="auto"/>
                <w:kern w:val="0"/>
                <w:sz w:val="22"/>
                <w:szCs w:val="22"/>
                <w:highlight w:val="none"/>
                <w:lang w:val="en-US" w:eastAsia="zh-CN"/>
              </w:rPr>
              <w:t>5分，一般：4.9</w:t>
            </w:r>
            <w:r>
              <w:rPr>
                <w:rFonts w:hint="eastAsia" w:ascii="仿宋" w:hAnsi="仿宋" w:eastAsia="仿宋" w:cs="仿宋"/>
                <w:color w:val="auto"/>
                <w:kern w:val="0"/>
                <w:sz w:val="21"/>
                <w:szCs w:val="21"/>
                <w:highlight w:val="none"/>
                <w:lang w:val="en-US" w:eastAsia="zh-CN" w:bidi="ar-SA"/>
              </w:rPr>
              <w:t>～</w:t>
            </w:r>
            <w:r>
              <w:rPr>
                <w:rFonts w:hint="eastAsia" w:ascii="仿宋" w:hAnsi="仿宋" w:eastAsia="仿宋" w:cs="仿宋"/>
                <w:color w:val="auto"/>
                <w:kern w:val="0"/>
                <w:sz w:val="22"/>
                <w:szCs w:val="22"/>
                <w:highlight w:val="none"/>
                <w:lang w:val="en-US" w:eastAsia="zh-CN"/>
              </w:rPr>
              <w:t xml:space="preserve">0分 </w:t>
            </w:r>
          </w:p>
        </w:tc>
        <w:tc>
          <w:tcPr>
            <w:tcW w:w="777" w:type="dxa"/>
            <w:vMerge w:val="continue"/>
            <w:noWrap w:val="0"/>
            <w:vAlign w:val="top"/>
          </w:tcPr>
          <w:p>
            <w:pPr>
              <w:pStyle w:val="67"/>
              <w:jc w:val="both"/>
              <w:rPr>
                <w:rFonts w:hint="eastAsia" w:ascii="仿宋" w:hAnsi="仿宋" w:eastAsia="仿宋" w:cs="仿宋"/>
                <w:color w:val="auto"/>
                <w:sz w:val="21"/>
                <w:szCs w:val="21"/>
                <w:highlight w:val="none"/>
                <w:vertAlign w:val="baseline"/>
              </w:rPr>
            </w:pPr>
          </w:p>
        </w:tc>
      </w:tr>
    </w:tbl>
    <w:p>
      <w:pPr>
        <w:pStyle w:val="4"/>
        <w:spacing w:line="400" w:lineRule="exact"/>
        <w:rPr>
          <w:rFonts w:hint="eastAsia" w:ascii="仿宋" w:hAnsi="仿宋" w:eastAsia="仿宋"/>
          <w:b/>
          <w:color w:val="auto"/>
          <w:sz w:val="24"/>
          <w:szCs w:val="24"/>
          <w:highlight w:val="none"/>
        </w:rPr>
      </w:pPr>
      <w:bookmarkStart w:id="26" w:name="_Toc9562"/>
      <w:bookmarkStart w:id="27" w:name="_Toc492721018"/>
      <w:r>
        <w:rPr>
          <w:rFonts w:hint="eastAsia" w:ascii="仿宋" w:hAnsi="仿宋" w:eastAsia="仿宋"/>
          <w:b/>
          <w:color w:val="auto"/>
          <w:sz w:val="24"/>
          <w:szCs w:val="24"/>
          <w:highlight w:val="none"/>
        </w:rPr>
        <w:t>四、无效投标条款</w:t>
      </w:r>
      <w:bookmarkEnd w:id="26"/>
      <w:bookmarkEnd w:id="27"/>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投标人或其投标文件出现下列情况之一者，应为无效投标：</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（一）投标文件未按招标文件要求签署、盖章的；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（二）不具备招标文件中规定的资格要求的；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（三）报价</w:t>
      </w:r>
      <w:r>
        <w:rPr>
          <w:rFonts w:hint="eastAsia" w:ascii="仿宋" w:hAnsi="仿宋" w:eastAsia="仿宋"/>
          <w:color w:val="auto"/>
          <w:sz w:val="24"/>
          <w:szCs w:val="24"/>
          <w:highlight w:val="none"/>
          <w:lang w:val="en-US" w:eastAsia="zh-CN"/>
        </w:rPr>
        <w:t>总价</w:t>
      </w:r>
      <w:r>
        <w:rPr>
          <w:rFonts w:hint="eastAsia" w:ascii="仿宋" w:hAnsi="仿宋" w:eastAsia="仿宋"/>
          <w:color w:val="auto"/>
          <w:sz w:val="24"/>
          <w:szCs w:val="24"/>
          <w:highlight w:val="none"/>
        </w:rPr>
        <w:t>超过招标文件中规定的预算金额或者最高限价的</w:t>
      </w:r>
      <w:r>
        <w:rPr>
          <w:rFonts w:hint="eastAsia" w:ascii="仿宋" w:hAnsi="仿宋" w:eastAsia="仿宋"/>
          <w:color w:val="auto"/>
          <w:sz w:val="24"/>
          <w:szCs w:val="24"/>
          <w:highlight w:val="none"/>
          <w:lang w:val="en-US" w:eastAsia="zh-CN"/>
        </w:rPr>
        <w:t>；投标单价超过招标文件中所列各项材料综合单价限价的</w:t>
      </w:r>
      <w:r>
        <w:rPr>
          <w:rFonts w:hint="eastAsia" w:ascii="仿宋" w:hAnsi="仿宋" w:eastAsia="仿宋"/>
          <w:color w:val="auto"/>
          <w:sz w:val="24"/>
          <w:szCs w:val="24"/>
          <w:highlight w:val="none"/>
        </w:rPr>
        <w:t>；</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（四）投标文件含有采购人不能接受的附加条件的；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（五）投标人串通投标的；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（六）</w:t>
      </w:r>
      <w:r>
        <w:rPr>
          <w:rStyle w:val="65"/>
          <w:rFonts w:hint="eastAsia" w:ascii="仿宋" w:hAnsi="仿宋" w:eastAsia="仿宋" w:cs="仿宋"/>
          <w:color w:val="auto"/>
          <w:sz w:val="24"/>
          <w:szCs w:val="24"/>
          <w:highlight w:val="none"/>
        </w:rPr>
        <w:t>投标人组成联合体投标的（拒绝联合体投标时适用）</w:t>
      </w:r>
      <w:r>
        <w:rPr>
          <w:rFonts w:hint="eastAsia" w:ascii="仿宋" w:hAnsi="仿宋" w:eastAsia="仿宋" w:cs="仿宋"/>
          <w:color w:val="auto"/>
          <w:sz w:val="24"/>
          <w:szCs w:val="24"/>
          <w:highlight w:val="none"/>
        </w:rPr>
        <w:t>；</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（七）法律、法规和招标文件规定的其他无效情形。</w:t>
      </w:r>
    </w:p>
    <w:p>
      <w:pPr>
        <w:pStyle w:val="4"/>
        <w:spacing w:line="400" w:lineRule="exact"/>
        <w:ind w:firstLine="482" w:firstLineChars="200"/>
        <w:rPr>
          <w:rFonts w:hint="eastAsia" w:ascii="仿宋" w:hAnsi="仿宋" w:eastAsia="仿宋"/>
          <w:b/>
          <w:color w:val="auto"/>
          <w:sz w:val="24"/>
          <w:szCs w:val="24"/>
          <w:highlight w:val="none"/>
        </w:rPr>
      </w:pPr>
      <w:bookmarkStart w:id="28" w:name="_Toc492721019"/>
      <w:bookmarkStart w:id="29" w:name="_Toc3323"/>
      <w:r>
        <w:rPr>
          <w:rFonts w:hint="eastAsia" w:ascii="仿宋" w:hAnsi="仿宋" w:eastAsia="仿宋"/>
          <w:b/>
          <w:color w:val="auto"/>
          <w:sz w:val="24"/>
          <w:szCs w:val="24"/>
          <w:highlight w:val="none"/>
        </w:rPr>
        <w:t>五、废标条款</w:t>
      </w:r>
      <w:bookmarkEnd w:id="28"/>
      <w:bookmarkEnd w:id="29"/>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评标委员会评审时出现以下情况之一的，应予废标：</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（一）符合专业条件的投标人或者对招标文件作实质响应的投标人不足三家的；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（二）投标人的报价均超过了采购预算，采购人不能支付的；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（三）出现影响采购公正的违法、违规行为的；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（四）因重大变故，采购任务取消的。</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废标后，除采购任务取消情形外，应当重新组织采购。</w:t>
      </w:r>
    </w:p>
    <w:p>
      <w:pPr>
        <w:pStyle w:val="3"/>
        <w:spacing w:before="0" w:beforeLines="0" w:after="0" w:afterLines="0" w:line="360" w:lineRule="auto"/>
        <w:rPr>
          <w:rFonts w:hint="eastAsia" w:ascii="仿宋" w:hAnsi="仿宋" w:eastAsia="仿宋"/>
          <w:b/>
          <w:color w:val="auto"/>
          <w:highlight w:val="none"/>
        </w:rPr>
      </w:pPr>
      <w:r>
        <w:rPr>
          <w:rFonts w:ascii="仿宋" w:hAnsi="仿宋" w:eastAsia="仿宋"/>
          <w:color w:val="auto"/>
          <w:sz w:val="28"/>
          <w:highlight w:val="none"/>
        </w:rPr>
        <w:br w:type="page"/>
      </w:r>
      <w:bookmarkStart w:id="30" w:name="_Toc4364"/>
      <w:r>
        <w:rPr>
          <w:rFonts w:hint="eastAsia" w:ascii="仿宋" w:hAnsi="仿宋" w:eastAsia="仿宋"/>
          <w:b/>
          <w:color w:val="auto"/>
          <w:highlight w:val="none"/>
        </w:rPr>
        <w:t>第五篇  投标人须知</w:t>
      </w:r>
      <w:bookmarkEnd w:id="30"/>
    </w:p>
    <w:p>
      <w:pPr>
        <w:pStyle w:val="4"/>
        <w:spacing w:line="400" w:lineRule="exact"/>
        <w:ind w:firstLine="482" w:firstLineChars="200"/>
        <w:rPr>
          <w:rFonts w:hint="eastAsia" w:ascii="仿宋" w:hAnsi="仿宋" w:eastAsia="仿宋"/>
          <w:b/>
          <w:color w:val="auto"/>
          <w:sz w:val="24"/>
          <w:highlight w:val="none"/>
        </w:rPr>
      </w:pPr>
      <w:bookmarkStart w:id="31" w:name="_Toc15859"/>
      <w:r>
        <w:rPr>
          <w:rFonts w:hint="eastAsia" w:ascii="仿宋" w:hAnsi="仿宋" w:eastAsia="仿宋"/>
          <w:b/>
          <w:color w:val="auto"/>
          <w:sz w:val="24"/>
          <w:highlight w:val="none"/>
          <w:lang w:eastAsia="zh-CN"/>
        </w:rPr>
        <w:t>一</w:t>
      </w:r>
      <w:r>
        <w:rPr>
          <w:rFonts w:hint="eastAsia" w:ascii="仿宋" w:hAnsi="仿宋" w:eastAsia="仿宋"/>
          <w:b/>
          <w:color w:val="auto"/>
          <w:sz w:val="24"/>
          <w:highlight w:val="none"/>
        </w:rPr>
        <w:t>、投标人</w:t>
      </w:r>
      <w:bookmarkEnd w:id="31"/>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（一）投标人</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投标人是指响应招标、参加投标竞争的法人、其他组织或者自然人。</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（二）合格投标人条件</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合格投标人应完全符合招标文件第一篇中规定的投标人资格条件，并对招标文件作出实质性响应。</w:t>
      </w:r>
    </w:p>
    <w:p>
      <w:pPr>
        <w:snapToGrid w:val="0"/>
        <w:spacing w:line="4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（三）投标人的风险</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（四）法律责任</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投标人违反《中华人民共和国政府采购法》、《中华人民共和国政府采购实施条例》等相关规定，将按规定追究投标人法律责任。</w:t>
      </w:r>
    </w:p>
    <w:p>
      <w:pPr>
        <w:pStyle w:val="4"/>
        <w:spacing w:line="400" w:lineRule="exact"/>
        <w:ind w:firstLine="482" w:firstLineChars="200"/>
        <w:rPr>
          <w:rFonts w:hint="eastAsia" w:ascii="仿宋" w:hAnsi="仿宋" w:eastAsia="仿宋"/>
          <w:b/>
          <w:color w:val="auto"/>
          <w:sz w:val="24"/>
          <w:highlight w:val="none"/>
        </w:rPr>
      </w:pPr>
      <w:bookmarkStart w:id="32" w:name="_Toc3612"/>
      <w:r>
        <w:rPr>
          <w:rFonts w:hint="eastAsia" w:ascii="仿宋" w:hAnsi="仿宋" w:eastAsia="仿宋"/>
          <w:b/>
          <w:color w:val="auto"/>
          <w:sz w:val="24"/>
          <w:highlight w:val="none"/>
          <w:lang w:eastAsia="zh-CN"/>
        </w:rPr>
        <w:t>二</w:t>
      </w:r>
      <w:r>
        <w:rPr>
          <w:rFonts w:hint="eastAsia" w:ascii="仿宋" w:hAnsi="仿宋" w:eastAsia="仿宋"/>
          <w:b/>
          <w:color w:val="auto"/>
          <w:sz w:val="24"/>
          <w:highlight w:val="none"/>
        </w:rPr>
        <w:t>、招标文件</w:t>
      </w:r>
      <w:bookmarkEnd w:id="32"/>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招标文件是投标人编制投标文件的依据，是评标委员会评判依据和标准。招标文件也是采购人与中标人签订合同的基础。</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（一）招标文件由投标邀请书；项目技术规格、数量及质量要求；商务条款；投标人须知；评标方法、评标标准、无效投标条款和废标条款；合同主要条款、格式合同；投标文件格式等七部分组成。</w:t>
      </w:r>
    </w:p>
    <w:p>
      <w:pPr>
        <w:snapToGrid w:val="0"/>
        <w:spacing w:line="400" w:lineRule="exact"/>
        <w:ind w:firstLine="480"/>
        <w:rPr>
          <w:rFonts w:hint="eastAsia" w:ascii="仿宋" w:hAnsi="仿宋" w:eastAsia="仿宋"/>
          <w:color w:val="auto"/>
          <w:sz w:val="24"/>
          <w:highlight w:val="none"/>
        </w:rPr>
      </w:pPr>
      <w:r>
        <w:rPr>
          <w:rFonts w:hint="eastAsia" w:ascii="仿宋" w:hAnsi="仿宋" w:eastAsia="仿宋"/>
          <w:color w:val="auto"/>
          <w:sz w:val="24"/>
          <w:szCs w:val="28"/>
          <w:highlight w:val="none"/>
        </w:rPr>
        <w:t>（二）</w:t>
      </w:r>
      <w:r>
        <w:rPr>
          <w:rFonts w:hint="eastAsia" w:ascii="仿宋" w:hAnsi="仿宋" w:eastAsia="仿宋"/>
          <w:color w:val="auto"/>
          <w:sz w:val="24"/>
          <w:highlight w:val="none"/>
        </w:rPr>
        <w:t>采购代理机构对招标文件所作的一切有效的书面通知、修改及补充，都是招标文件不可分割的部分。</w:t>
      </w:r>
    </w:p>
    <w:p>
      <w:pPr>
        <w:snapToGrid w:val="0"/>
        <w:spacing w:line="400" w:lineRule="exact"/>
        <w:ind w:firstLine="480"/>
        <w:rPr>
          <w:rFonts w:hint="eastAsia" w:ascii="仿宋" w:hAnsi="仿宋" w:eastAsia="仿宋"/>
          <w:color w:val="auto"/>
          <w:sz w:val="24"/>
          <w:highlight w:val="none"/>
        </w:rPr>
      </w:pPr>
      <w:r>
        <w:rPr>
          <w:rFonts w:hint="eastAsia" w:ascii="仿宋" w:hAnsi="仿宋" w:eastAsia="仿宋"/>
          <w:color w:val="auto"/>
          <w:sz w:val="24"/>
          <w:highlight w:val="none"/>
        </w:rPr>
        <w:t>（三）</w:t>
      </w:r>
      <w:r>
        <w:rPr>
          <w:rFonts w:hint="eastAsia" w:ascii="仿宋" w:hAnsi="仿宋" w:eastAsia="仿宋"/>
          <w:color w:val="auto"/>
          <w:sz w:val="24"/>
          <w:szCs w:val="24"/>
          <w:highlight w:val="none"/>
        </w:rPr>
        <w:t>本项目的招标文件、补遗文件（如果有）一律在</w:t>
      </w:r>
      <w:r>
        <w:rPr>
          <w:rFonts w:hint="eastAsia" w:ascii="仿宋" w:hAnsi="仿宋" w:eastAsia="仿宋" w:cs="仿宋"/>
          <w:color w:val="auto"/>
          <w:sz w:val="24"/>
          <w:highlight w:val="none"/>
        </w:rPr>
        <w:t>南川区城市建设投资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集团</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有限公司官网</w:t>
      </w:r>
      <w:r>
        <w:rPr>
          <w:rFonts w:hint="eastAsia" w:ascii="仿宋" w:hAnsi="仿宋" w:eastAsia="仿宋"/>
          <w:color w:val="auto"/>
          <w:sz w:val="24"/>
          <w:szCs w:val="24"/>
          <w:highlight w:val="none"/>
        </w:rPr>
        <w:t>上发布，请各投标人注意下载或到采购代理机构处领取；无论投标人下载或领取与否，均视同投标人已知晓本项目招标文件、补遗文件的内容。</w:t>
      </w:r>
      <w:r>
        <w:rPr>
          <w:rFonts w:hint="eastAsia" w:ascii="仿宋" w:hAnsi="仿宋" w:eastAsia="仿宋"/>
          <w:color w:val="auto"/>
          <w:sz w:val="24"/>
          <w:highlight w:val="none"/>
        </w:rPr>
        <w:t>该澄清或者修改的内容为招标文件的组成部分。</w:t>
      </w:r>
    </w:p>
    <w:p>
      <w:pPr>
        <w:pStyle w:val="4"/>
        <w:spacing w:line="400" w:lineRule="exact"/>
        <w:ind w:firstLine="482" w:firstLineChars="200"/>
        <w:rPr>
          <w:rFonts w:hint="eastAsia" w:ascii="仿宋" w:hAnsi="仿宋" w:eastAsia="仿宋"/>
          <w:b/>
          <w:color w:val="auto"/>
          <w:sz w:val="24"/>
          <w:highlight w:val="none"/>
        </w:rPr>
      </w:pPr>
      <w:bookmarkStart w:id="33" w:name="_Toc21107"/>
      <w:r>
        <w:rPr>
          <w:rFonts w:hint="eastAsia" w:ascii="仿宋" w:hAnsi="仿宋" w:eastAsia="仿宋"/>
          <w:b/>
          <w:color w:val="auto"/>
          <w:sz w:val="24"/>
          <w:highlight w:val="none"/>
          <w:lang w:eastAsia="zh-CN"/>
        </w:rPr>
        <w:t>三</w:t>
      </w:r>
      <w:r>
        <w:rPr>
          <w:rFonts w:hint="eastAsia" w:ascii="仿宋" w:hAnsi="仿宋" w:eastAsia="仿宋"/>
          <w:b/>
          <w:color w:val="auto"/>
          <w:sz w:val="24"/>
          <w:highlight w:val="none"/>
        </w:rPr>
        <w:t>、投标文件</w:t>
      </w:r>
      <w:bookmarkEnd w:id="33"/>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投标人应当按照招标文件的要求编制投标文件，并对招标文件提出的要求和条件作出实质性响应，投标文件原则上采用软面订本，同时应编制完整的页码、目录。</w:t>
      </w:r>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（一）投标文件组成</w:t>
      </w:r>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文件由第七篇“投标文件格式”规定的部分和投标人所作的一切有效补充、修改和承诺等文件组成，投标人应按照第七篇“投标文件格式”规定的目录顺序组织编写和装订，否则有可能影响评委对投标文件的评审。</w:t>
      </w:r>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（二）投标有效期</w:t>
      </w:r>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投标有效期为投标截止日期后九十天内。</w:t>
      </w:r>
    </w:p>
    <w:p>
      <w:pPr>
        <w:tabs>
          <w:tab w:val="left" w:pos="0"/>
        </w:tabs>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（四）投标人</w:t>
      </w:r>
      <w:r>
        <w:rPr>
          <w:rFonts w:ascii="仿宋" w:hAnsi="仿宋" w:eastAsia="仿宋"/>
          <w:color w:val="auto"/>
          <w:sz w:val="24"/>
          <w:highlight w:val="none"/>
        </w:rPr>
        <w:t>有下列情形之一的，</w:t>
      </w:r>
      <w:r>
        <w:rPr>
          <w:rFonts w:hint="eastAsia" w:ascii="仿宋" w:hAnsi="仿宋" w:eastAsia="仿宋"/>
          <w:color w:val="auto"/>
          <w:sz w:val="24"/>
          <w:highlight w:val="none"/>
        </w:rPr>
        <w:t>可视情节轻重对投标人进行相应处罚：</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1.投标人在投标有效期内撤回投标文件的；</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2.投标人未按规定提交履约保证金的；</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3.投标人在投标过程中弄虚作假，提供虚假材料的；</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4.中标人无正当理由不与采购人签订合同的；</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5.中标人将中标项目转让给他人或者在投标文件中未说明且未经采购人同意，将中标项目分包给他人的；</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6.中标人拒绝履行合同义务的；</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7.其他严重扰乱招投标程序的。</w:t>
      </w:r>
    </w:p>
    <w:p>
      <w:pPr>
        <w:snapToGrid w:val="0"/>
        <w:spacing w:line="400" w:lineRule="exact"/>
        <w:ind w:firstLine="470" w:firstLineChars="196"/>
        <w:jc w:val="left"/>
        <w:rPr>
          <w:rFonts w:hint="eastAsia" w:ascii="仿宋" w:hAnsi="仿宋" w:eastAsia="仿宋"/>
          <w:bCs/>
          <w:color w:val="auto"/>
          <w:sz w:val="24"/>
          <w:highlight w:val="none"/>
        </w:rPr>
      </w:pPr>
      <w:r>
        <w:rPr>
          <w:rFonts w:hint="eastAsia" w:ascii="仿宋" w:hAnsi="仿宋" w:eastAsia="仿宋"/>
          <w:bCs/>
          <w:color w:val="auto"/>
          <w:sz w:val="24"/>
          <w:highlight w:val="none"/>
        </w:rPr>
        <w:t>（五）投标文件的份数和签署</w:t>
      </w:r>
    </w:p>
    <w:p>
      <w:pPr>
        <w:tabs>
          <w:tab w:val="left" w:pos="0"/>
        </w:tabs>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1.投标文件一式</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两</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份，其中正本</w:t>
      </w:r>
      <w:r>
        <w:rPr>
          <w:rFonts w:hint="eastAsia" w:ascii="仿宋" w:hAnsi="仿宋" w:eastAsia="仿宋"/>
          <w:color w:val="auto"/>
          <w:sz w:val="24"/>
          <w:highlight w:val="none"/>
          <w:u w:val="single"/>
        </w:rPr>
        <w:t>一</w:t>
      </w:r>
      <w:r>
        <w:rPr>
          <w:rFonts w:hint="eastAsia" w:ascii="仿宋" w:hAnsi="仿宋" w:eastAsia="仿宋"/>
          <w:color w:val="auto"/>
          <w:sz w:val="24"/>
          <w:highlight w:val="none"/>
        </w:rPr>
        <w:t>份，副本</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u w:val="single"/>
          <w:lang w:val="en-US" w:eastAsia="zh-CN"/>
        </w:rPr>
        <w:t>一</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份</w:t>
      </w:r>
      <w:r>
        <w:rPr>
          <w:rFonts w:hint="eastAsia" w:ascii="仿宋" w:hAnsi="仿宋" w:eastAsia="仿宋"/>
          <w:color w:val="auto"/>
          <w:sz w:val="24"/>
          <w:highlight w:val="none"/>
          <w:lang w:eastAsia="zh-CN"/>
        </w:rPr>
        <w:t>（</w:t>
      </w:r>
      <w:r>
        <w:rPr>
          <w:rFonts w:hint="eastAsia" w:ascii="仿宋" w:hAnsi="仿宋" w:eastAsia="仿宋"/>
          <w:b/>
          <w:bCs/>
          <w:color w:val="auto"/>
          <w:sz w:val="24"/>
          <w:highlight w:val="none"/>
          <w:lang w:val="en-US" w:eastAsia="zh-CN"/>
        </w:rPr>
        <w:t>其中</w:t>
      </w:r>
      <w:r>
        <w:rPr>
          <w:rFonts w:hint="eastAsia" w:ascii="仿宋" w:hAnsi="仿宋" w:eastAsia="仿宋"/>
          <w:b/>
          <w:color w:val="auto"/>
          <w:sz w:val="24"/>
          <w:szCs w:val="24"/>
          <w:highlight w:val="none"/>
        </w:rPr>
        <w:t>技术文件</w:t>
      </w:r>
      <w:r>
        <w:rPr>
          <w:rFonts w:hint="eastAsia" w:ascii="仿宋" w:hAnsi="仿宋" w:eastAsia="仿宋"/>
          <w:b/>
          <w:color w:val="auto"/>
          <w:sz w:val="24"/>
          <w:szCs w:val="24"/>
          <w:highlight w:val="none"/>
          <w:lang w:val="en-US" w:eastAsia="zh-CN"/>
        </w:rPr>
        <w:t>不分正副</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。每套纸质投标文件须在封面清楚地标明“正本”、“副本”</w:t>
      </w:r>
      <w:r>
        <w:rPr>
          <w:rFonts w:hint="eastAsia" w:ascii="仿宋" w:hAnsi="仿宋" w:eastAsia="仿宋" w:cs="Times New Roman"/>
          <w:color w:val="auto"/>
          <w:sz w:val="24"/>
          <w:highlight w:val="none"/>
        </w:rPr>
        <w:t>，副本可为正</w:t>
      </w:r>
      <w:r>
        <w:rPr>
          <w:rFonts w:hint="eastAsia" w:ascii="仿宋" w:hAnsi="仿宋" w:eastAsia="仿宋"/>
          <w:color w:val="auto"/>
          <w:sz w:val="24"/>
          <w:highlight w:val="none"/>
        </w:rPr>
        <w:t>本的完整复印件，副本与正本不一致时以正本为准。</w:t>
      </w:r>
    </w:p>
    <w:p>
      <w:pPr>
        <w:tabs>
          <w:tab w:val="left" w:pos="0"/>
        </w:tabs>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2.在投标文件正本中，招标文件第七篇投标文件格式中规定签字、盖章的地方必须按其规定签字、盖章。</w:t>
      </w:r>
    </w:p>
    <w:p>
      <w:pPr>
        <w:tabs>
          <w:tab w:val="left" w:pos="0"/>
        </w:tabs>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3.若投标人对投标文件的错处作必要修改，则应在修改处加盖投标人公章或由</w:t>
      </w:r>
      <w:r>
        <w:rPr>
          <w:rFonts w:hint="eastAsia" w:ascii="仿宋" w:hAnsi="仿宋" w:eastAsia="仿宋"/>
          <w:color w:val="auto"/>
          <w:sz w:val="24"/>
          <w:szCs w:val="28"/>
          <w:highlight w:val="none"/>
        </w:rPr>
        <w:t>法定代表人</w:t>
      </w:r>
      <w:r>
        <w:rPr>
          <w:rFonts w:hint="eastAsia" w:ascii="仿宋" w:hAnsi="仿宋" w:eastAsia="仿宋"/>
          <w:color w:val="auto"/>
          <w:sz w:val="24"/>
          <w:highlight w:val="none"/>
        </w:rPr>
        <w:t>或</w:t>
      </w:r>
      <w:r>
        <w:rPr>
          <w:rFonts w:hint="eastAsia" w:ascii="仿宋" w:hAnsi="仿宋" w:eastAsia="仿宋"/>
          <w:color w:val="auto"/>
          <w:sz w:val="24"/>
          <w:szCs w:val="28"/>
          <w:highlight w:val="none"/>
        </w:rPr>
        <w:t>法定代表人</w:t>
      </w:r>
      <w:r>
        <w:rPr>
          <w:rFonts w:hint="eastAsia" w:ascii="仿宋" w:hAnsi="仿宋" w:eastAsia="仿宋"/>
          <w:color w:val="auto"/>
          <w:sz w:val="24"/>
          <w:highlight w:val="none"/>
        </w:rPr>
        <w:t>授权代表签字确认。</w:t>
      </w:r>
    </w:p>
    <w:p>
      <w:pPr>
        <w:snapToGrid w:val="0"/>
        <w:spacing w:line="400" w:lineRule="exact"/>
        <w:ind w:firstLine="480"/>
        <w:rPr>
          <w:rFonts w:hint="eastAsia" w:ascii="仿宋" w:hAnsi="仿宋" w:eastAsia="仿宋" w:cs="Times New Roman"/>
          <w:color w:val="auto"/>
          <w:sz w:val="24"/>
          <w:szCs w:val="24"/>
          <w:highlight w:val="none"/>
        </w:rPr>
      </w:pPr>
      <w:r>
        <w:rPr>
          <w:rFonts w:hint="eastAsia" w:ascii="仿宋" w:hAnsi="仿宋" w:eastAsia="仿宋"/>
          <w:color w:val="auto"/>
          <w:sz w:val="24"/>
          <w:highlight w:val="none"/>
        </w:rPr>
        <w:t>4</w:t>
      </w:r>
      <w:r>
        <w:rPr>
          <w:rFonts w:hint="eastAsia" w:ascii="仿宋" w:hAnsi="仿宋" w:eastAsia="仿宋" w:cs="Times New Roman"/>
          <w:color w:val="auto"/>
          <w:sz w:val="24"/>
          <w:szCs w:val="24"/>
          <w:highlight w:val="none"/>
        </w:rPr>
        <w:t>.电报、电话、传真形式的投标文件概不接受。</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5.</w:t>
      </w:r>
      <w:r>
        <w:rPr>
          <w:rFonts w:hint="eastAsia" w:ascii="仿宋" w:hAnsi="仿宋" w:eastAsia="仿宋" w:cs="Times New Roman"/>
          <w:b/>
          <w:bCs/>
          <w:color w:val="auto"/>
          <w:sz w:val="24"/>
          <w:szCs w:val="24"/>
          <w:highlight w:val="none"/>
        </w:rPr>
        <w:t>装订要求</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（1）先分二个小袋密封：正本、副本共同装入一小袋，技术文件装一小袋。</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a.经济文件、商务文件、资格文件</w:t>
      </w:r>
      <w:r>
        <w:rPr>
          <w:rFonts w:hint="eastAsia" w:ascii="仿宋" w:hAnsi="仿宋" w:eastAsia="仿宋" w:cs="Times New Roman"/>
          <w:b/>
          <w:bCs/>
          <w:color w:val="auto"/>
          <w:sz w:val="24"/>
          <w:szCs w:val="24"/>
          <w:highlight w:val="none"/>
          <w:lang w:val="en-US" w:eastAsia="zh-CN"/>
        </w:rPr>
        <w:t>及</w:t>
      </w:r>
      <w:r>
        <w:rPr>
          <w:rFonts w:hint="eastAsia" w:ascii="仿宋" w:hAnsi="仿宋" w:eastAsia="仿宋" w:cs="Times New Roman"/>
          <w:b/>
          <w:bCs/>
          <w:color w:val="auto"/>
          <w:sz w:val="24"/>
          <w:szCs w:val="24"/>
          <w:highlight w:val="none"/>
        </w:rPr>
        <w:t>其他(装订成一册）装订成一正本和一副本一起装入一小袋中密封并在小袋封口处加盖</w:t>
      </w:r>
      <w:r>
        <w:rPr>
          <w:rFonts w:hint="eastAsia" w:ascii="仿宋" w:hAnsi="仿宋" w:eastAsia="仿宋" w:cs="Times New Roman"/>
          <w:b/>
          <w:bCs/>
          <w:color w:val="auto"/>
          <w:sz w:val="24"/>
          <w:szCs w:val="24"/>
          <w:highlight w:val="none"/>
          <w:lang w:eastAsia="zh-CN"/>
        </w:rPr>
        <w:t>投标人</w:t>
      </w:r>
      <w:r>
        <w:rPr>
          <w:rFonts w:hint="eastAsia" w:ascii="仿宋" w:hAnsi="仿宋" w:eastAsia="仿宋" w:cs="Times New Roman"/>
          <w:b/>
          <w:bCs/>
          <w:color w:val="auto"/>
          <w:sz w:val="24"/>
          <w:szCs w:val="24"/>
          <w:highlight w:val="none"/>
        </w:rPr>
        <w:t>公章。</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b.技术文件（暗标）一式二份（不分正副本）装入一小袋中密封。</w:t>
      </w:r>
    </w:p>
    <w:p>
      <w:pPr>
        <w:snapToGrid w:val="0"/>
        <w:spacing w:line="400" w:lineRule="exact"/>
        <w:ind w:firstLine="480"/>
        <w:rPr>
          <w:rFonts w:hint="eastAsia" w:ascii="仿宋" w:hAnsi="仿宋" w:eastAsia="仿宋" w:cs="Times New Roman"/>
          <w:b/>
          <w:bCs/>
          <w:color w:val="auto"/>
          <w:sz w:val="24"/>
          <w:szCs w:val="24"/>
          <w:highlight w:val="none"/>
          <w:lang w:val="en-US" w:eastAsia="zh-CN"/>
        </w:rPr>
      </w:pPr>
      <w:r>
        <w:rPr>
          <w:rFonts w:hint="eastAsia" w:ascii="仿宋" w:hAnsi="仿宋" w:eastAsia="仿宋" w:cs="Times New Roman"/>
          <w:b/>
          <w:bCs/>
          <w:color w:val="auto"/>
          <w:sz w:val="24"/>
          <w:szCs w:val="24"/>
          <w:highlight w:val="none"/>
        </w:rPr>
        <w:t>（2）最后两个小袋一起装入大袋中，密封并在大袋封口处加盖</w:t>
      </w:r>
      <w:r>
        <w:rPr>
          <w:rFonts w:hint="eastAsia" w:ascii="仿宋" w:hAnsi="仿宋" w:eastAsia="仿宋" w:cs="Times New Roman"/>
          <w:b/>
          <w:bCs/>
          <w:color w:val="auto"/>
          <w:sz w:val="24"/>
          <w:szCs w:val="24"/>
          <w:highlight w:val="none"/>
          <w:lang w:eastAsia="zh-CN"/>
        </w:rPr>
        <w:t>投标人</w:t>
      </w:r>
      <w:r>
        <w:rPr>
          <w:rFonts w:hint="eastAsia" w:ascii="仿宋" w:hAnsi="仿宋" w:eastAsia="仿宋" w:cs="Times New Roman"/>
          <w:b/>
          <w:bCs/>
          <w:color w:val="auto"/>
          <w:sz w:val="24"/>
          <w:szCs w:val="24"/>
          <w:highlight w:val="none"/>
        </w:rPr>
        <w:t>公章。同时在大袋上注明项目名称、</w:t>
      </w:r>
      <w:r>
        <w:rPr>
          <w:rFonts w:hint="eastAsia" w:ascii="仿宋" w:hAnsi="仿宋" w:eastAsia="仿宋" w:cs="Times New Roman"/>
          <w:b/>
          <w:bCs/>
          <w:color w:val="auto"/>
          <w:sz w:val="24"/>
          <w:szCs w:val="24"/>
          <w:highlight w:val="none"/>
          <w:lang w:eastAsia="zh-CN"/>
        </w:rPr>
        <w:t>投标人</w:t>
      </w:r>
      <w:r>
        <w:rPr>
          <w:rFonts w:hint="eastAsia" w:ascii="仿宋" w:hAnsi="仿宋" w:eastAsia="仿宋" w:cs="Times New Roman"/>
          <w:b/>
          <w:bCs/>
          <w:color w:val="auto"/>
          <w:sz w:val="24"/>
          <w:szCs w:val="24"/>
          <w:highlight w:val="none"/>
        </w:rPr>
        <w:t>名称</w:t>
      </w:r>
      <w:r>
        <w:rPr>
          <w:rFonts w:hint="eastAsia" w:ascii="仿宋" w:hAnsi="仿宋" w:eastAsia="仿宋" w:cs="Times New Roman"/>
          <w:b/>
          <w:bCs/>
          <w:color w:val="auto"/>
          <w:sz w:val="24"/>
          <w:szCs w:val="24"/>
          <w:highlight w:val="none"/>
          <w:lang w:eastAsia="zh-CN"/>
        </w:rPr>
        <w:t>、</w:t>
      </w:r>
      <w:r>
        <w:rPr>
          <w:rFonts w:hint="eastAsia" w:ascii="仿宋" w:hAnsi="仿宋" w:eastAsia="仿宋" w:cs="Times New Roman"/>
          <w:b/>
          <w:bCs/>
          <w:color w:val="auto"/>
          <w:sz w:val="24"/>
          <w:szCs w:val="24"/>
          <w:highlight w:val="none"/>
        </w:rPr>
        <w:t>地址及“不准提前启封”字样。</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lang w:val="en-US" w:eastAsia="zh-CN"/>
        </w:rPr>
        <w:t>6.</w:t>
      </w:r>
      <w:r>
        <w:rPr>
          <w:rFonts w:hint="eastAsia" w:ascii="仿宋" w:hAnsi="仿宋" w:eastAsia="仿宋" w:cs="Times New Roman"/>
          <w:b/>
          <w:bCs/>
          <w:color w:val="auto"/>
          <w:sz w:val="24"/>
          <w:szCs w:val="24"/>
          <w:highlight w:val="none"/>
        </w:rPr>
        <w:t>技术文件</w:t>
      </w:r>
      <w:r>
        <w:rPr>
          <w:rFonts w:hint="eastAsia" w:ascii="仿宋" w:hAnsi="仿宋" w:eastAsia="仿宋" w:cs="Times New Roman"/>
          <w:b/>
          <w:bCs/>
          <w:color w:val="auto"/>
          <w:sz w:val="24"/>
          <w:szCs w:val="24"/>
          <w:highlight w:val="none"/>
          <w:lang w:eastAsia="zh-CN"/>
        </w:rPr>
        <w:t>（</w:t>
      </w:r>
      <w:r>
        <w:rPr>
          <w:rFonts w:hint="eastAsia" w:ascii="仿宋" w:hAnsi="仿宋" w:eastAsia="仿宋" w:cs="Times New Roman"/>
          <w:b/>
          <w:bCs/>
          <w:color w:val="auto"/>
          <w:sz w:val="24"/>
          <w:szCs w:val="24"/>
          <w:highlight w:val="none"/>
          <w:lang w:val="en-US" w:eastAsia="zh-CN"/>
        </w:rPr>
        <w:t>服务方案</w:t>
      </w:r>
      <w:r>
        <w:rPr>
          <w:rFonts w:hint="eastAsia" w:ascii="仿宋" w:hAnsi="仿宋" w:eastAsia="仿宋" w:cs="Times New Roman"/>
          <w:b/>
          <w:bCs/>
          <w:color w:val="auto"/>
          <w:sz w:val="24"/>
          <w:szCs w:val="24"/>
          <w:highlight w:val="none"/>
          <w:lang w:eastAsia="zh-CN"/>
        </w:rPr>
        <w:t>）</w:t>
      </w:r>
      <w:r>
        <w:rPr>
          <w:rFonts w:hint="eastAsia" w:ascii="仿宋" w:hAnsi="仿宋" w:eastAsia="仿宋" w:cs="Times New Roman"/>
          <w:b/>
          <w:bCs/>
          <w:color w:val="auto"/>
          <w:sz w:val="24"/>
          <w:szCs w:val="24"/>
          <w:highlight w:val="none"/>
        </w:rPr>
        <w:t>暗标要求：</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（1）技术文件用密封袋密封，外面贴A4白纸并用初号仿宋字体标明“</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”（不含引号）字样，不得出现</w:t>
      </w:r>
      <w:r>
        <w:rPr>
          <w:rFonts w:hint="eastAsia" w:ascii="仿宋" w:hAnsi="仿宋" w:eastAsia="仿宋" w:cs="Times New Roman"/>
          <w:b/>
          <w:bCs/>
          <w:color w:val="auto"/>
          <w:sz w:val="24"/>
          <w:szCs w:val="24"/>
          <w:highlight w:val="none"/>
          <w:lang w:eastAsia="zh-CN"/>
        </w:rPr>
        <w:t>投标人</w:t>
      </w:r>
      <w:r>
        <w:rPr>
          <w:rFonts w:hint="eastAsia" w:ascii="仿宋" w:hAnsi="仿宋" w:eastAsia="仿宋" w:cs="Times New Roman"/>
          <w:b/>
          <w:bCs/>
          <w:color w:val="auto"/>
          <w:sz w:val="24"/>
          <w:szCs w:val="24"/>
          <w:highlight w:val="none"/>
        </w:rPr>
        <w:t>名称、单位公章等信息。违反本条要求的，技术部分得0分。</w:t>
      </w:r>
    </w:p>
    <w:p>
      <w:pPr>
        <w:snapToGrid w:val="0"/>
        <w:spacing w:line="400" w:lineRule="exact"/>
        <w:ind w:firstLine="480"/>
        <w:rPr>
          <w:rFonts w:hint="eastAsia" w:ascii="仿宋" w:hAnsi="仿宋" w:eastAsia="仿宋" w:cs="Times New Roman"/>
          <w:b/>
          <w:bCs/>
          <w:color w:val="auto"/>
          <w:sz w:val="24"/>
          <w:szCs w:val="24"/>
          <w:highlight w:val="none"/>
        </w:rPr>
      </w:pPr>
      <w:r>
        <w:rPr>
          <w:rFonts w:hint="eastAsia" w:ascii="仿宋" w:hAnsi="仿宋" w:eastAsia="仿宋" w:cs="Times New Roman"/>
          <w:b/>
          <w:bCs/>
          <w:color w:val="auto"/>
          <w:sz w:val="24"/>
          <w:szCs w:val="24"/>
          <w:highlight w:val="none"/>
        </w:rPr>
        <w:t>（2）《</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》面页使用A4厚型无底纹白纸面页，用初号仿宋字体横向上下居中标明 “</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”（不含引号）；在页面右下角加盖</w:t>
      </w:r>
      <w:r>
        <w:rPr>
          <w:rFonts w:hint="eastAsia" w:ascii="仿宋" w:hAnsi="仿宋" w:eastAsia="仿宋" w:cs="Times New Roman"/>
          <w:b/>
          <w:bCs/>
          <w:color w:val="auto"/>
          <w:sz w:val="24"/>
          <w:szCs w:val="24"/>
          <w:highlight w:val="none"/>
          <w:lang w:eastAsia="zh-CN"/>
        </w:rPr>
        <w:t>投标人</w:t>
      </w:r>
      <w:r>
        <w:rPr>
          <w:rFonts w:hint="eastAsia" w:ascii="仿宋" w:hAnsi="仿宋" w:eastAsia="仿宋" w:cs="Times New Roman"/>
          <w:b/>
          <w:bCs/>
          <w:color w:val="auto"/>
          <w:sz w:val="24"/>
          <w:szCs w:val="24"/>
          <w:highlight w:val="none"/>
        </w:rPr>
        <w:t>章后沿密封线折叠成腰约10cm左右的等腰直角三角形密封；面页除了“</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”（不含引号）四字和右下角密封处印章外不得有其他印记；密封后的面页及整个《</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》均不得出现白页、残页和倒页，不得显示与</w:t>
      </w:r>
      <w:r>
        <w:rPr>
          <w:rFonts w:hint="eastAsia" w:ascii="仿宋" w:hAnsi="仿宋" w:eastAsia="仿宋" w:cs="Times New Roman"/>
          <w:b/>
          <w:bCs/>
          <w:color w:val="auto"/>
          <w:sz w:val="24"/>
          <w:szCs w:val="24"/>
          <w:highlight w:val="none"/>
          <w:lang w:eastAsia="zh-CN"/>
        </w:rPr>
        <w:t>投标人</w:t>
      </w:r>
      <w:r>
        <w:rPr>
          <w:rFonts w:hint="eastAsia" w:ascii="仿宋" w:hAnsi="仿宋" w:eastAsia="仿宋" w:cs="Times New Roman"/>
          <w:b/>
          <w:bCs/>
          <w:color w:val="auto"/>
          <w:sz w:val="24"/>
          <w:szCs w:val="24"/>
          <w:highlight w:val="none"/>
        </w:rPr>
        <w:t>企业有关的任何信息（面页用A4厚型白纸打印，加盖鲜章后其面页的反面以不得显示出鲜章单位名称为准）；违反上述任何一项，其《</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》部分为</w:t>
      </w:r>
      <w:r>
        <w:rPr>
          <w:rFonts w:hint="eastAsia" w:ascii="仿宋" w:hAnsi="仿宋" w:eastAsia="仿宋" w:cs="Times New Roman"/>
          <w:b/>
          <w:bCs/>
          <w:color w:val="auto"/>
          <w:sz w:val="24"/>
          <w:szCs w:val="24"/>
          <w:highlight w:val="none"/>
          <w:lang w:val="en-US" w:eastAsia="zh-CN"/>
        </w:rPr>
        <w:t>0</w:t>
      </w:r>
      <w:r>
        <w:rPr>
          <w:rFonts w:hint="eastAsia" w:ascii="仿宋" w:hAnsi="仿宋" w:eastAsia="仿宋" w:cs="Times New Roman"/>
          <w:b/>
          <w:bCs/>
          <w:color w:val="auto"/>
          <w:sz w:val="24"/>
          <w:szCs w:val="24"/>
          <w:highlight w:val="none"/>
        </w:rPr>
        <w:t>分。</w:t>
      </w:r>
    </w:p>
    <w:p>
      <w:pPr>
        <w:snapToGrid w:val="0"/>
        <w:spacing w:line="400" w:lineRule="exact"/>
        <w:ind w:firstLine="480"/>
        <w:rPr>
          <w:rFonts w:hint="default" w:eastAsia="仿宋"/>
          <w:b w:val="0"/>
          <w:bCs w:val="0"/>
          <w:color w:val="auto"/>
          <w:highlight w:val="none"/>
          <w:lang w:val="en-US" w:eastAsia="zh-CN"/>
        </w:rPr>
      </w:pPr>
      <w:r>
        <w:rPr>
          <w:rFonts w:hint="eastAsia" w:ascii="仿宋" w:hAnsi="仿宋" w:eastAsia="仿宋" w:cs="Times New Roman"/>
          <w:b/>
          <w:bCs/>
          <w:color w:val="auto"/>
          <w:sz w:val="24"/>
          <w:szCs w:val="24"/>
          <w:highlight w:val="none"/>
        </w:rPr>
        <w:t>（3）《</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》文字部分纸张采用A4白纸，四号仿宋字体；图、表采用A4或A3白纸，图、表内的字体、字号大小不限</w:t>
      </w:r>
      <w:r>
        <w:rPr>
          <w:rFonts w:hint="eastAsia" w:ascii="仿宋" w:hAnsi="仿宋" w:eastAsia="仿宋" w:cs="Times New Roman"/>
          <w:b/>
          <w:bCs/>
          <w:color w:val="auto"/>
          <w:sz w:val="24"/>
          <w:szCs w:val="24"/>
          <w:highlight w:val="none"/>
          <w:lang w:eastAsia="zh-CN"/>
        </w:rPr>
        <w:t>；</w:t>
      </w:r>
      <w:r>
        <w:rPr>
          <w:rFonts w:hint="eastAsia" w:ascii="仿宋" w:hAnsi="仿宋" w:eastAsia="仿宋" w:cs="Times New Roman"/>
          <w:b/>
          <w:bCs/>
          <w:color w:val="auto"/>
          <w:sz w:val="24"/>
          <w:szCs w:val="24"/>
          <w:highlight w:val="none"/>
        </w:rPr>
        <w:t>不得编制页码。违反上述任何一项，其《</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》部分为零分。《</w:t>
      </w:r>
      <w:r>
        <w:rPr>
          <w:rFonts w:hint="eastAsia" w:ascii="仿宋" w:hAnsi="仿宋" w:eastAsia="仿宋" w:cs="Times New Roman"/>
          <w:b/>
          <w:bCs/>
          <w:color w:val="auto"/>
          <w:sz w:val="24"/>
          <w:szCs w:val="24"/>
          <w:highlight w:val="none"/>
          <w:lang w:eastAsia="zh-CN"/>
        </w:rPr>
        <w:t>服务方案</w:t>
      </w:r>
      <w:r>
        <w:rPr>
          <w:rFonts w:hint="eastAsia" w:ascii="仿宋" w:hAnsi="仿宋" w:eastAsia="仿宋" w:cs="Times New Roman"/>
          <w:b/>
          <w:bCs/>
          <w:color w:val="auto"/>
          <w:sz w:val="24"/>
          <w:szCs w:val="24"/>
          <w:highlight w:val="none"/>
        </w:rPr>
        <w:t>》不得超过</w:t>
      </w:r>
      <w:r>
        <w:rPr>
          <w:rFonts w:hint="eastAsia" w:ascii="仿宋" w:hAnsi="仿宋" w:eastAsia="仿宋" w:cs="Times New Roman"/>
          <w:b/>
          <w:bCs/>
          <w:color w:val="auto"/>
          <w:sz w:val="24"/>
          <w:szCs w:val="24"/>
          <w:highlight w:val="none"/>
          <w:lang w:val="en-US" w:eastAsia="zh-CN"/>
        </w:rPr>
        <w:t>100</w:t>
      </w:r>
      <w:r>
        <w:rPr>
          <w:rFonts w:hint="eastAsia" w:ascii="仿宋" w:hAnsi="仿宋" w:eastAsia="仿宋" w:cs="Times New Roman"/>
          <w:b/>
          <w:bCs/>
          <w:color w:val="auto"/>
          <w:sz w:val="24"/>
          <w:szCs w:val="24"/>
          <w:highlight w:val="none"/>
        </w:rPr>
        <w:t>页。</w:t>
      </w:r>
    </w:p>
    <w:p>
      <w:pPr>
        <w:snapToGrid w:val="0"/>
        <w:spacing w:line="400" w:lineRule="exact"/>
        <w:ind w:firstLine="470" w:firstLineChars="196"/>
        <w:jc w:val="left"/>
        <w:rPr>
          <w:rFonts w:hint="eastAsia" w:ascii="仿宋" w:hAnsi="仿宋" w:eastAsia="仿宋"/>
          <w:bCs/>
          <w:color w:val="auto"/>
          <w:sz w:val="24"/>
          <w:highlight w:val="none"/>
        </w:rPr>
      </w:pPr>
      <w:r>
        <w:rPr>
          <w:rFonts w:hint="eastAsia" w:ascii="仿宋" w:hAnsi="仿宋" w:eastAsia="仿宋"/>
          <w:bCs/>
          <w:color w:val="auto"/>
          <w:sz w:val="24"/>
          <w:highlight w:val="none"/>
        </w:rPr>
        <w:t>（六）投标报价</w:t>
      </w:r>
    </w:p>
    <w:p>
      <w:pPr>
        <w:snapToGrid w:val="0"/>
        <w:spacing w:line="400" w:lineRule="exact"/>
        <w:ind w:firstLine="470" w:firstLineChars="196"/>
        <w:jc w:val="left"/>
        <w:rPr>
          <w:rFonts w:hint="eastAsia" w:ascii="仿宋" w:hAnsi="仿宋" w:eastAsia="仿宋"/>
          <w:color w:val="auto"/>
          <w:sz w:val="24"/>
          <w:highlight w:val="none"/>
        </w:rPr>
      </w:pPr>
      <w:r>
        <w:rPr>
          <w:rFonts w:hint="eastAsia" w:ascii="仿宋" w:hAnsi="仿宋" w:eastAsia="仿宋"/>
          <w:bCs/>
          <w:color w:val="auto"/>
          <w:sz w:val="24"/>
          <w:highlight w:val="none"/>
        </w:rPr>
        <w:t>1.投标人应严格按照“投标文件格式”中</w:t>
      </w:r>
      <w:r>
        <w:rPr>
          <w:rFonts w:hint="eastAsia" w:ascii="仿宋" w:hAnsi="仿宋" w:eastAsia="仿宋"/>
          <w:color w:val="auto"/>
          <w:sz w:val="24"/>
          <w:highlight w:val="none"/>
        </w:rPr>
        <w:t>的格式填写报价。</w:t>
      </w:r>
    </w:p>
    <w:p>
      <w:pPr>
        <w:snapToGrid w:val="0"/>
        <w:spacing w:line="400" w:lineRule="exact"/>
        <w:ind w:left="3" w:leftChars="1"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2.投标人的报价为一次性报价，即在投标有效期内投标价格固定不变。</w:t>
      </w:r>
    </w:p>
    <w:p>
      <w:pPr>
        <w:snapToGrid w:val="0"/>
        <w:spacing w:line="400" w:lineRule="exact"/>
        <w:ind w:left="3" w:leftChars="1"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3.本项目只接受一个投标报价，有选择的或有条件的报价将不予接受。</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（七）修正错误</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若投标文件出现计算或表达上的错误，修正错误的原则如下：</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1.投标文件中开标一览表（报价表）内容与投标文件中相应内容不一致的，以开标一览表（报价表）为准；</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2.大写金额和小写金额不一致的，以大写金额为准；</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3.单价金额小数点或者百分比有明显错位的，以开标一览表的总价为准，并修改单价；</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4.总价金额与按单价汇总金额不一致的，以单价金额计算结果为准。</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0"/>
        <w:spacing w:line="400" w:lineRule="exact"/>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（八）投标文件的递交</w:t>
      </w:r>
    </w:p>
    <w:p>
      <w:pPr>
        <w:pStyle w:val="30"/>
        <w:spacing w:line="400" w:lineRule="exact"/>
        <w:ind w:firstLine="480" w:firstLineChars="200"/>
        <w:rPr>
          <w:rFonts w:hint="eastAsia" w:ascii="仿宋" w:hAnsi="仿宋" w:eastAsia="仿宋" w:cs="Times New Roman"/>
          <w:color w:val="auto"/>
          <w:sz w:val="24"/>
          <w:highlight w:val="none"/>
        </w:rPr>
      </w:pPr>
      <w:bookmarkStart w:id="34" w:name="_Toc31403"/>
      <w:r>
        <w:rPr>
          <w:rFonts w:hint="eastAsia" w:ascii="仿宋" w:hAnsi="仿宋" w:eastAsia="仿宋" w:cs="Times New Roman"/>
          <w:color w:val="auto"/>
          <w:sz w:val="24"/>
          <w:highlight w:val="none"/>
        </w:rPr>
        <w:t>1. 投标文件的密封：投标文件应按要求密封并送达递交地点。</w:t>
      </w:r>
    </w:p>
    <w:p>
      <w:pPr>
        <w:pStyle w:val="30"/>
        <w:spacing w:line="400" w:lineRule="exact"/>
        <w:ind w:firstLine="480" w:firstLineChars="20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2.如果未按上述规定进行密封，采购代理机构对投标文件误投、丢失或提前拆封不负责任。</w:t>
      </w:r>
    </w:p>
    <w:p>
      <w:pPr>
        <w:pStyle w:val="4"/>
        <w:spacing w:line="400" w:lineRule="exact"/>
        <w:ind w:firstLine="482" w:firstLineChars="200"/>
        <w:rPr>
          <w:rFonts w:hint="eastAsia" w:ascii="仿宋" w:hAnsi="仿宋" w:eastAsia="仿宋"/>
          <w:b/>
          <w:color w:val="auto"/>
          <w:sz w:val="24"/>
          <w:highlight w:val="none"/>
        </w:rPr>
      </w:pPr>
      <w:r>
        <w:rPr>
          <w:rFonts w:hint="eastAsia" w:ascii="仿宋" w:hAnsi="仿宋" w:eastAsia="仿宋"/>
          <w:b/>
          <w:color w:val="auto"/>
          <w:sz w:val="24"/>
          <w:highlight w:val="none"/>
          <w:lang w:eastAsia="zh-CN"/>
        </w:rPr>
        <w:t>四</w:t>
      </w:r>
      <w:r>
        <w:rPr>
          <w:rFonts w:hint="eastAsia" w:ascii="仿宋" w:hAnsi="仿宋" w:eastAsia="仿宋"/>
          <w:b/>
          <w:color w:val="auto"/>
          <w:sz w:val="24"/>
          <w:highlight w:val="none"/>
        </w:rPr>
        <w:t>、开标</w:t>
      </w:r>
      <w:bookmarkEnd w:id="34"/>
    </w:p>
    <w:p>
      <w:pPr>
        <w:spacing w:line="400" w:lineRule="exact"/>
        <w:ind w:firstLine="480" w:firstLineChars="200"/>
        <w:rPr>
          <w:rFonts w:hint="eastAsia" w:ascii="仿宋" w:hAnsi="仿宋" w:eastAsia="仿宋"/>
          <w:color w:val="auto"/>
          <w:sz w:val="24"/>
        </w:rPr>
      </w:pPr>
      <w:bookmarkStart w:id="35" w:name="_Toc10045"/>
      <w:r>
        <w:rPr>
          <w:rFonts w:hint="eastAsia" w:ascii="仿宋" w:hAnsi="仿宋" w:eastAsia="仿宋"/>
          <w:color w:val="auto"/>
          <w:sz w:val="24"/>
        </w:rPr>
        <w:t>（一）开标应当在招标文件中“投标邀请书”确定的时间和地点公开进行。</w:t>
      </w:r>
    </w:p>
    <w:p>
      <w:pPr>
        <w:spacing w:line="400" w:lineRule="exact"/>
        <w:ind w:firstLine="480" w:firstLineChars="200"/>
        <w:rPr>
          <w:rFonts w:hint="eastAsia" w:ascii="仿宋" w:hAnsi="仿宋" w:eastAsia="仿宋"/>
          <w:color w:val="auto"/>
          <w:sz w:val="24"/>
        </w:rPr>
      </w:pPr>
      <w:r>
        <w:rPr>
          <w:rFonts w:hint="eastAsia" w:ascii="仿宋" w:hAnsi="仿宋" w:eastAsia="仿宋"/>
          <w:color w:val="auto"/>
          <w:sz w:val="24"/>
        </w:rPr>
        <w:t>（二）采购代理机构可视采购具体情况，延长投标截止时间和开标时间，但至少在招标文件要求提交投标文件的截止时间三日前，将变更时间书面通知所有招标文件收受人。</w:t>
      </w:r>
    </w:p>
    <w:p>
      <w:pPr>
        <w:spacing w:line="400" w:lineRule="exact"/>
        <w:ind w:firstLine="480" w:firstLineChars="200"/>
        <w:rPr>
          <w:rFonts w:hint="eastAsia" w:ascii="仿宋" w:hAnsi="仿宋" w:eastAsia="仿宋"/>
          <w:color w:val="auto"/>
          <w:sz w:val="24"/>
        </w:rPr>
      </w:pPr>
      <w:r>
        <w:rPr>
          <w:rFonts w:hint="eastAsia" w:ascii="仿宋" w:hAnsi="仿宋" w:eastAsia="仿宋"/>
          <w:color w:val="auto"/>
          <w:sz w:val="24"/>
        </w:rPr>
        <w:t>（三）开标由采购人或采购代理机构主持，邀请投标人和有关监督部门代表参加,有关监督部门可视情况派员现场监督。</w:t>
      </w:r>
    </w:p>
    <w:p>
      <w:pPr>
        <w:spacing w:line="400" w:lineRule="exact"/>
        <w:ind w:firstLine="480" w:firstLineChars="200"/>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s="Times New Roman"/>
          <w:color w:val="auto"/>
          <w:sz w:val="24"/>
        </w:rPr>
        <w:t>四）</w:t>
      </w:r>
      <w:r>
        <w:rPr>
          <w:rFonts w:hint="eastAsia" w:ascii="仿宋" w:hAnsi="仿宋" w:eastAsia="仿宋" w:cs="Times New Roman"/>
          <w:color w:val="auto"/>
          <w:sz w:val="24"/>
          <w:lang w:val="zh-CN"/>
        </w:rPr>
        <w:t>核验参加开标会议的投标人的法定代表人</w:t>
      </w:r>
      <w:r>
        <w:rPr>
          <w:rFonts w:hint="eastAsia" w:ascii="仿宋" w:hAnsi="仿宋" w:eastAsia="仿宋" w:cs="Times New Roman"/>
          <w:color w:val="auto"/>
          <w:sz w:val="24"/>
          <w:lang w:val="en-US" w:eastAsia="zh-CN"/>
        </w:rPr>
        <w:t>的法定代表人</w:t>
      </w:r>
      <w:r>
        <w:rPr>
          <w:rFonts w:hint="eastAsia" w:ascii="仿宋" w:hAnsi="仿宋" w:eastAsia="仿宋" w:cs="Times New Roman"/>
          <w:color w:val="auto"/>
          <w:sz w:val="24"/>
          <w:lang w:val="zh-CN"/>
        </w:rPr>
        <w:t>身份证明书或委托代理人的授权委托书，以确认其身份合法有效，核验不合格的，当场退还其投标文件。</w:t>
      </w:r>
    </w:p>
    <w:p>
      <w:pPr>
        <w:spacing w:line="400" w:lineRule="exact"/>
        <w:ind w:firstLine="480" w:firstLineChars="200"/>
        <w:rPr>
          <w:rFonts w:hint="eastAsia" w:ascii="仿宋" w:hAnsi="仿宋" w:eastAsia="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五</w:t>
      </w:r>
      <w:r>
        <w:rPr>
          <w:rFonts w:hint="eastAsia" w:ascii="仿宋" w:hAnsi="仿宋" w:eastAsia="仿宋" w:cs="仿宋"/>
          <w:color w:val="auto"/>
          <w:sz w:val="24"/>
          <w:lang w:eastAsia="zh-CN"/>
        </w:rPr>
        <w:t>）</w:t>
      </w:r>
      <w:r>
        <w:rPr>
          <w:rFonts w:hint="eastAsia" w:ascii="仿宋" w:hAnsi="仿宋" w:eastAsia="仿宋" w:cs="仿宋"/>
          <w:color w:val="auto"/>
          <w:sz w:val="24"/>
        </w:rPr>
        <w:t>开标时，由投标人或者其推选的代表检查投标文件的密封情况；经确认无误后，由采购人或者采购代理机构工作人员当众拆封，宣布投标人名称、投标价格和《开标一览表》规定的需要宣布的其他内容。投标人不足三家的，不得开标。</w:t>
      </w:r>
    </w:p>
    <w:p>
      <w:pPr>
        <w:spacing w:line="400" w:lineRule="exact"/>
        <w:ind w:firstLine="480" w:firstLineChars="200"/>
        <w:rPr>
          <w:rFonts w:hint="eastAsia" w:ascii="仿宋" w:hAnsi="仿宋" w:eastAsia="仿宋"/>
          <w:color w:val="auto"/>
          <w:sz w:val="24"/>
        </w:rPr>
      </w:pPr>
      <w:r>
        <w:rPr>
          <w:rFonts w:hint="eastAsia" w:ascii="仿宋" w:hAnsi="仿宋" w:eastAsia="仿宋"/>
          <w:color w:val="auto"/>
          <w:sz w:val="24"/>
        </w:rPr>
        <w:t>（</w:t>
      </w:r>
      <w:r>
        <w:rPr>
          <w:rFonts w:hint="eastAsia" w:ascii="仿宋" w:hAnsi="仿宋" w:eastAsia="仿宋"/>
          <w:color w:val="auto"/>
          <w:sz w:val="24"/>
          <w:lang w:val="en-US" w:eastAsia="zh-CN"/>
        </w:rPr>
        <w:t>六</w:t>
      </w:r>
      <w:r>
        <w:rPr>
          <w:rFonts w:hint="eastAsia" w:ascii="仿宋" w:hAnsi="仿宋" w:eastAsia="仿宋"/>
          <w:color w:val="auto"/>
          <w:sz w:val="24"/>
        </w:rPr>
        <w:t>）未宣读的投标价格、价格折扣和招标文件允许提供的备选投标方案等实质性内容等，评标时不予承认。</w:t>
      </w:r>
    </w:p>
    <w:p>
      <w:pPr>
        <w:pStyle w:val="30"/>
        <w:spacing w:line="400" w:lineRule="exact"/>
        <w:ind w:firstLine="480" w:firstLineChars="200"/>
        <w:rPr>
          <w:rFonts w:hint="eastAsia" w:ascii="仿宋" w:hAnsi="仿宋" w:eastAsia="仿宋"/>
          <w:sz w:val="24"/>
        </w:rPr>
      </w:pPr>
      <w:r>
        <w:rPr>
          <w:rFonts w:hint="eastAsia" w:ascii="仿宋" w:hAnsi="仿宋" w:eastAsia="仿宋"/>
          <w:color w:val="auto"/>
          <w:sz w:val="24"/>
        </w:rPr>
        <w:t>（</w:t>
      </w:r>
      <w:r>
        <w:rPr>
          <w:rFonts w:hint="eastAsia" w:ascii="仿宋" w:hAnsi="仿宋" w:eastAsia="仿宋"/>
          <w:color w:val="auto"/>
          <w:sz w:val="24"/>
          <w:lang w:val="en-US" w:eastAsia="zh-CN"/>
        </w:rPr>
        <w:t>七</w:t>
      </w:r>
      <w:r>
        <w:rPr>
          <w:rFonts w:hint="eastAsia" w:ascii="仿宋" w:hAnsi="仿宋" w:eastAsia="仿宋"/>
          <w:color w:val="auto"/>
          <w:sz w:val="24"/>
        </w:rPr>
        <w:t>）</w:t>
      </w:r>
      <w:r>
        <w:rPr>
          <w:rFonts w:hint="eastAsia" w:ascii="仿宋" w:hAnsi="仿宋" w:eastAsia="仿宋"/>
          <w:sz w:val="24"/>
        </w:rPr>
        <w:t>开标过程应由采购人或采购代理机构指定专人负责记录，并存档备查。</w:t>
      </w:r>
    </w:p>
    <w:p>
      <w:pPr>
        <w:pStyle w:val="4"/>
        <w:spacing w:line="400" w:lineRule="exact"/>
        <w:ind w:firstLine="480" w:firstLineChars="200"/>
        <w:rPr>
          <w:rFonts w:hint="eastAsia" w:ascii="仿宋" w:hAnsi="仿宋" w:eastAsia="仿宋"/>
          <w:sz w:val="24"/>
        </w:rPr>
      </w:pPr>
      <w:r>
        <w:rPr>
          <w:rFonts w:hint="eastAsia" w:ascii="仿宋" w:hAnsi="仿宋" w:eastAsia="仿宋"/>
          <w:sz w:val="24"/>
        </w:rPr>
        <w:t>（</w:t>
      </w:r>
      <w:r>
        <w:rPr>
          <w:rFonts w:hint="eastAsia" w:ascii="仿宋" w:hAnsi="仿宋" w:eastAsia="仿宋"/>
          <w:sz w:val="24"/>
          <w:lang w:val="en-US" w:eastAsia="zh-CN"/>
        </w:rPr>
        <w:t>八</w:t>
      </w:r>
      <w:r>
        <w:rPr>
          <w:rFonts w:hint="eastAsia" w:ascii="仿宋" w:hAnsi="仿宋" w:eastAsia="仿宋"/>
          <w:sz w:val="24"/>
        </w:rPr>
        <w:t>）投标人未参加开标的，视同认可开标结果。</w:t>
      </w:r>
    </w:p>
    <w:p>
      <w:pPr>
        <w:pStyle w:val="4"/>
        <w:spacing w:line="400" w:lineRule="exact"/>
        <w:ind w:firstLine="482" w:firstLineChars="200"/>
        <w:rPr>
          <w:rFonts w:hint="eastAsia" w:ascii="仿宋" w:hAnsi="仿宋" w:eastAsia="仿宋"/>
          <w:b/>
          <w:color w:val="auto"/>
          <w:sz w:val="24"/>
          <w:highlight w:val="none"/>
        </w:rPr>
      </w:pPr>
      <w:r>
        <w:rPr>
          <w:rFonts w:hint="eastAsia" w:ascii="仿宋" w:hAnsi="仿宋" w:eastAsia="仿宋"/>
          <w:b/>
          <w:color w:val="auto"/>
          <w:sz w:val="24"/>
          <w:highlight w:val="none"/>
          <w:lang w:eastAsia="zh-CN"/>
        </w:rPr>
        <w:t>五</w:t>
      </w:r>
      <w:r>
        <w:rPr>
          <w:rFonts w:hint="eastAsia" w:ascii="仿宋" w:hAnsi="仿宋" w:eastAsia="仿宋"/>
          <w:b/>
          <w:color w:val="auto"/>
          <w:sz w:val="24"/>
          <w:highlight w:val="none"/>
        </w:rPr>
        <w:t>、评标</w:t>
      </w:r>
      <w:bookmarkEnd w:id="35"/>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见第四篇“评标”内容。</w:t>
      </w:r>
    </w:p>
    <w:p>
      <w:pPr>
        <w:pStyle w:val="4"/>
        <w:spacing w:line="400" w:lineRule="exact"/>
        <w:ind w:firstLine="482" w:firstLineChars="200"/>
        <w:rPr>
          <w:rFonts w:hint="eastAsia" w:ascii="仿宋" w:hAnsi="仿宋" w:eastAsia="仿宋"/>
          <w:b/>
          <w:color w:val="auto"/>
          <w:sz w:val="24"/>
          <w:highlight w:val="none"/>
        </w:rPr>
      </w:pPr>
      <w:bookmarkStart w:id="36" w:name="_Toc25351"/>
      <w:r>
        <w:rPr>
          <w:rFonts w:hint="eastAsia" w:ascii="仿宋" w:hAnsi="仿宋" w:eastAsia="仿宋"/>
          <w:b/>
          <w:color w:val="auto"/>
          <w:sz w:val="24"/>
          <w:highlight w:val="none"/>
          <w:lang w:eastAsia="zh-CN"/>
        </w:rPr>
        <w:t>六</w:t>
      </w:r>
      <w:r>
        <w:rPr>
          <w:rFonts w:hint="eastAsia" w:ascii="仿宋" w:hAnsi="仿宋" w:eastAsia="仿宋"/>
          <w:b/>
          <w:color w:val="auto"/>
          <w:sz w:val="24"/>
          <w:highlight w:val="none"/>
        </w:rPr>
        <w:t>、定标</w:t>
      </w:r>
      <w:bookmarkEnd w:id="36"/>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（一）定标原则</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采购人或其授权的评标委员会应按照评标报告中推荐的中标候选人排名顺序确定中标人。</w:t>
      </w:r>
    </w:p>
    <w:p>
      <w:pPr>
        <w:pStyle w:val="3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（二）定标程序</w:t>
      </w:r>
    </w:p>
    <w:p>
      <w:pPr>
        <w:pStyle w:val="3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1.采购代理机构应当在评标结束后2个工作日内将评标报告送采购人。</w:t>
      </w:r>
    </w:p>
    <w:p>
      <w:pPr>
        <w:pStyle w:val="30"/>
        <w:spacing w:line="400" w:lineRule="exact"/>
        <w:ind w:firstLine="480" w:firstLineChars="200"/>
        <w:rPr>
          <w:rStyle w:val="65"/>
          <w:rFonts w:hint="eastAsia" w:ascii="仿宋" w:hAnsi="仿宋" w:eastAsia="仿宋" w:cs="仿宋"/>
          <w:color w:val="auto"/>
          <w:kern w:val="0"/>
          <w:highlight w:val="none"/>
          <w:lang w:eastAsia="zh-TW"/>
        </w:rPr>
      </w:pPr>
      <w:r>
        <w:rPr>
          <w:rFonts w:hint="eastAsia" w:ascii="仿宋" w:hAnsi="仿宋" w:eastAsia="仿宋" w:cs="仿宋"/>
          <w:color w:val="auto"/>
          <w:sz w:val="24"/>
          <w:highlight w:val="none"/>
        </w:rPr>
        <w:t>2.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3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3.采购人或者采购代理机构应当自中标人确定之日起2个工作日内，在南川区城市建设投资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集团</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有限公司官网上公告中标结果。中标公告期限为1个工作日。</w:t>
      </w:r>
    </w:p>
    <w:p>
      <w:pPr>
        <w:pStyle w:val="3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4.中标人变更</w:t>
      </w:r>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中标人拒绝与采购人签订合同的，采购人可以按照评标报告推荐的中标候选人顺序，确定排名下一位的候选人为中标人，也可以重新开展政府采购活动。</w:t>
      </w:r>
    </w:p>
    <w:p>
      <w:pPr>
        <w:pStyle w:val="4"/>
        <w:spacing w:line="400" w:lineRule="exact"/>
        <w:ind w:firstLine="482" w:firstLineChars="200"/>
        <w:rPr>
          <w:rFonts w:hint="eastAsia" w:ascii="仿宋" w:hAnsi="仿宋" w:eastAsia="仿宋"/>
          <w:b/>
          <w:color w:val="auto"/>
          <w:sz w:val="24"/>
          <w:highlight w:val="none"/>
        </w:rPr>
      </w:pPr>
      <w:bookmarkStart w:id="37" w:name="_Toc6041"/>
      <w:r>
        <w:rPr>
          <w:rFonts w:hint="eastAsia" w:ascii="仿宋" w:hAnsi="仿宋" w:eastAsia="仿宋"/>
          <w:b/>
          <w:color w:val="auto"/>
          <w:sz w:val="24"/>
          <w:highlight w:val="none"/>
          <w:lang w:eastAsia="zh-CN"/>
        </w:rPr>
        <w:t>七</w:t>
      </w:r>
      <w:r>
        <w:rPr>
          <w:rFonts w:hint="eastAsia" w:ascii="仿宋" w:hAnsi="仿宋" w:eastAsia="仿宋"/>
          <w:b/>
          <w:color w:val="auto"/>
          <w:sz w:val="24"/>
          <w:highlight w:val="none"/>
        </w:rPr>
        <w:t>、中标通知书</w:t>
      </w:r>
      <w:bookmarkEnd w:id="37"/>
    </w:p>
    <w:p>
      <w:pPr>
        <w:snapToGrid w:val="0"/>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（一）采购人依法确定中标人后，采购代理机构以书面形式发出中标通知书。</w:t>
      </w:r>
    </w:p>
    <w:p>
      <w:pPr>
        <w:snapToGrid w:val="0"/>
        <w:spacing w:line="400" w:lineRule="exact"/>
        <w:ind w:firstLine="480" w:firstLineChars="200"/>
        <w:rPr>
          <w:rFonts w:hint="eastAsia"/>
          <w:color w:val="auto"/>
          <w:highlight w:val="none"/>
        </w:rPr>
      </w:pPr>
      <w:r>
        <w:rPr>
          <w:rFonts w:hint="eastAsia" w:ascii="仿宋" w:hAnsi="仿宋" w:eastAsia="仿宋"/>
          <w:color w:val="auto"/>
          <w:sz w:val="24"/>
          <w:highlight w:val="none"/>
        </w:rPr>
        <w:t>（二）中标通知书发出后，采购人改变中标结果，或者中标人放弃中标，应当承担相应的法律责任。</w:t>
      </w:r>
    </w:p>
    <w:p>
      <w:pPr>
        <w:pStyle w:val="4"/>
        <w:spacing w:line="400" w:lineRule="exact"/>
        <w:ind w:firstLine="482" w:firstLineChars="200"/>
        <w:rPr>
          <w:rFonts w:hint="eastAsia" w:ascii="仿宋" w:hAnsi="仿宋" w:eastAsia="仿宋"/>
          <w:b/>
          <w:color w:val="auto"/>
          <w:sz w:val="24"/>
          <w:highlight w:val="none"/>
        </w:rPr>
      </w:pPr>
      <w:bookmarkStart w:id="38" w:name="_Toc31941"/>
      <w:r>
        <w:rPr>
          <w:rFonts w:hint="eastAsia" w:ascii="仿宋" w:hAnsi="仿宋" w:eastAsia="仿宋"/>
          <w:b/>
          <w:color w:val="auto"/>
          <w:sz w:val="24"/>
          <w:highlight w:val="none"/>
          <w:lang w:eastAsia="zh-CN"/>
        </w:rPr>
        <w:t>八</w:t>
      </w:r>
      <w:r>
        <w:rPr>
          <w:rFonts w:hint="eastAsia" w:ascii="仿宋" w:hAnsi="仿宋" w:eastAsia="仿宋"/>
          <w:b/>
          <w:color w:val="auto"/>
          <w:sz w:val="24"/>
          <w:highlight w:val="none"/>
        </w:rPr>
        <w:t>、</w:t>
      </w:r>
      <w:r>
        <w:rPr>
          <w:rFonts w:hint="eastAsia" w:ascii="仿宋" w:hAnsi="仿宋" w:eastAsia="仿宋" w:cs="仿宋"/>
          <w:b/>
          <w:color w:val="auto"/>
          <w:sz w:val="24"/>
          <w:highlight w:val="none"/>
        </w:rPr>
        <w:t>询问、质疑</w:t>
      </w:r>
      <w:bookmarkEnd w:id="38"/>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（一）询问</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采购人或者采购代理机构应当在3个工作日内对投标人依法提出的询问作出答复。投标人询问可以是口头或书面形式。</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（二）质疑</w:t>
      </w:r>
    </w:p>
    <w:p>
      <w:pPr>
        <w:spacing w:line="400" w:lineRule="exact"/>
        <w:ind w:right="12" w:firstLine="480"/>
        <w:rPr>
          <w:rFonts w:hint="default" w:ascii="仿宋" w:hAnsi="仿宋" w:eastAsia="仿宋" w:cs="仿宋"/>
          <w:sz w:val="24"/>
          <w:lang w:val="en-US" w:eastAsia="zh-CN"/>
        </w:rPr>
      </w:pPr>
      <w:bookmarkStart w:id="39" w:name="_Toc21640"/>
      <w:r>
        <w:rPr>
          <w:rFonts w:hint="eastAsia" w:ascii="仿宋" w:hAnsi="仿宋" w:eastAsia="仿宋" w:cs="仿宋"/>
          <w:sz w:val="24"/>
        </w:rPr>
        <w:t>1</w:t>
      </w:r>
      <w:r>
        <w:rPr>
          <w:rFonts w:hint="eastAsia" w:ascii="仿宋" w:hAnsi="仿宋" w:eastAsia="仿宋" w:cs="仿宋"/>
          <w:sz w:val="24"/>
          <w:lang w:eastAsia="zh-CN"/>
        </w:rPr>
        <w:t>、</w:t>
      </w:r>
      <w:r>
        <w:rPr>
          <w:rFonts w:hint="eastAsia" w:ascii="仿宋" w:hAnsi="仿宋" w:eastAsia="仿宋" w:cs="仿宋"/>
          <w:sz w:val="24"/>
          <w:lang w:val="en-US" w:eastAsia="zh-CN"/>
        </w:rPr>
        <w:t>对招标文件的质疑及答复</w:t>
      </w:r>
    </w:p>
    <w:p>
      <w:pPr>
        <w:spacing w:line="400" w:lineRule="exact"/>
        <w:ind w:right="12" w:firstLine="480"/>
        <w:rPr>
          <w:rFonts w:hint="default" w:ascii="仿宋" w:hAnsi="仿宋" w:eastAsia="仿宋" w:cs="仿宋"/>
          <w:color w:val="auto"/>
          <w:sz w:val="24"/>
          <w:lang w:val="en-US" w:eastAsia="zh-CN"/>
        </w:rPr>
      </w:pPr>
      <w:r>
        <w:rPr>
          <w:rFonts w:hint="eastAsia" w:ascii="仿宋" w:hAnsi="仿宋" w:eastAsia="仿宋" w:cs="仿宋"/>
          <w:color w:val="auto"/>
          <w:sz w:val="24"/>
        </w:rPr>
        <w:t>招标文件公告期限为采购公告发出之日起五个工作日，投标人对招标文件提出质疑的，应在依法获取招标文件之日起至投标截止时间</w:t>
      </w:r>
      <w:r>
        <w:rPr>
          <w:rFonts w:hint="eastAsia" w:ascii="仿宋" w:hAnsi="仿宋" w:eastAsia="仿宋" w:cs="仿宋"/>
          <w:color w:val="auto"/>
          <w:sz w:val="24"/>
          <w:lang w:val="en-US" w:eastAsia="zh-CN"/>
        </w:rPr>
        <w:t>前二日</w:t>
      </w:r>
      <w:r>
        <w:rPr>
          <w:rFonts w:hint="eastAsia" w:ascii="仿宋" w:hAnsi="仿宋" w:eastAsia="仿宋" w:cs="仿宋"/>
          <w:color w:val="auto"/>
          <w:sz w:val="24"/>
        </w:rPr>
        <w:t>内提出，并附相关证明材料。</w:t>
      </w:r>
      <w:r>
        <w:rPr>
          <w:rFonts w:hint="eastAsia" w:ascii="仿宋" w:hAnsi="仿宋" w:eastAsia="仿宋" w:cs="仿宋"/>
          <w:color w:val="auto"/>
          <w:sz w:val="24"/>
          <w:lang w:val="en-US" w:eastAsia="zh-CN"/>
        </w:rPr>
        <w:t>招标人收到质疑后，在</w:t>
      </w:r>
      <w:r>
        <w:rPr>
          <w:rFonts w:hint="eastAsia" w:ascii="仿宋" w:hAnsi="仿宋" w:eastAsia="仿宋" w:cs="仿宋"/>
          <w:color w:val="auto"/>
          <w:sz w:val="24"/>
        </w:rPr>
        <w:t>投标截止时间</w:t>
      </w:r>
      <w:r>
        <w:rPr>
          <w:rFonts w:hint="eastAsia" w:ascii="仿宋" w:hAnsi="仿宋" w:eastAsia="仿宋" w:cs="仿宋"/>
          <w:color w:val="auto"/>
          <w:sz w:val="24"/>
          <w:lang w:val="en-US" w:eastAsia="zh-CN"/>
        </w:rPr>
        <w:t>前一日</w:t>
      </w:r>
      <w:r>
        <w:rPr>
          <w:rFonts w:hint="eastAsia" w:ascii="仿宋" w:hAnsi="仿宋" w:eastAsia="仿宋" w:cs="仿宋"/>
          <w:color w:val="auto"/>
          <w:sz w:val="24"/>
        </w:rPr>
        <w:t>内</w:t>
      </w:r>
      <w:r>
        <w:rPr>
          <w:rFonts w:hint="eastAsia" w:ascii="仿宋" w:hAnsi="仿宋" w:eastAsia="仿宋" w:cs="仿宋"/>
          <w:color w:val="auto"/>
          <w:sz w:val="24"/>
          <w:lang w:val="en-US" w:eastAsia="zh-CN"/>
        </w:rPr>
        <w:t>做出答复，若答复对招标文件有实质性改动的，将顺延开标时间。</w:t>
      </w:r>
    </w:p>
    <w:p>
      <w:pPr>
        <w:numPr>
          <w:ilvl w:val="0"/>
          <w:numId w:val="18"/>
        </w:numPr>
        <w:spacing w:line="400" w:lineRule="exact"/>
        <w:ind w:right="12" w:firstLine="480"/>
        <w:rPr>
          <w:rFonts w:hint="eastAsia" w:ascii="仿宋" w:hAnsi="仿宋" w:eastAsia="仿宋" w:cs="仿宋"/>
          <w:sz w:val="24"/>
          <w:lang w:val="en-US" w:eastAsia="zh-CN"/>
        </w:rPr>
      </w:pPr>
      <w:r>
        <w:rPr>
          <w:rFonts w:hint="eastAsia" w:ascii="仿宋" w:hAnsi="仿宋" w:eastAsia="仿宋" w:cs="仿宋"/>
          <w:sz w:val="24"/>
          <w:lang w:val="en-US" w:eastAsia="zh-CN"/>
        </w:rPr>
        <w:t>招标过程等其他质疑及答复</w:t>
      </w:r>
    </w:p>
    <w:p>
      <w:pPr>
        <w:numPr>
          <w:ilvl w:val="0"/>
          <w:numId w:val="0"/>
        </w:numPr>
        <w:spacing w:line="400" w:lineRule="exact"/>
        <w:ind w:right="12" w:rightChars="0" w:firstLine="480" w:firstLineChars="200"/>
        <w:rPr>
          <w:rFonts w:hint="eastAsia" w:ascii="仿宋" w:hAnsi="仿宋" w:eastAsia="仿宋" w:cs="仿宋"/>
          <w:sz w:val="24"/>
        </w:rPr>
      </w:pPr>
      <w:r>
        <w:rPr>
          <w:rFonts w:hint="eastAsia" w:ascii="仿宋" w:hAnsi="仿宋" w:eastAsia="仿宋" w:cs="仿宋"/>
          <w:sz w:val="24"/>
          <w:lang w:val="en-US" w:eastAsia="zh-CN"/>
        </w:rPr>
        <w:t>2.1</w:t>
      </w:r>
      <w:r>
        <w:rPr>
          <w:rFonts w:hint="eastAsia" w:ascii="仿宋" w:hAnsi="仿宋" w:eastAsia="仿宋" w:cs="仿宋"/>
          <w:sz w:val="24"/>
        </w:rPr>
        <w:t>投标人对采购过程提出质疑的，应在各采购程序环节结束之日起七个工作日内以书面形式向采购人、采购代理机构提出，并附相关证明材料。</w:t>
      </w:r>
    </w:p>
    <w:p>
      <w:pPr>
        <w:spacing w:line="400" w:lineRule="exact"/>
        <w:ind w:right="12" w:firstLine="480"/>
        <w:rPr>
          <w:rFonts w:hint="eastAsia" w:ascii="仿宋" w:hAnsi="仿宋" w:eastAsia="仿宋" w:cs="仿宋"/>
          <w:sz w:val="24"/>
        </w:rPr>
      </w:pPr>
      <w:r>
        <w:rPr>
          <w:rFonts w:hint="eastAsia" w:ascii="仿宋" w:hAnsi="仿宋" w:eastAsia="仿宋" w:cs="仿宋"/>
          <w:sz w:val="24"/>
          <w:lang w:val="en-US" w:eastAsia="zh-CN"/>
        </w:rPr>
        <w:t>2.2</w:t>
      </w:r>
      <w:r>
        <w:rPr>
          <w:rFonts w:hint="eastAsia" w:ascii="仿宋" w:hAnsi="仿宋" w:eastAsia="仿宋" w:cs="仿宋"/>
          <w:sz w:val="24"/>
        </w:rPr>
        <w:t>中标结果公告期限为中标结果公告发出之日起一个工作日，投标人对中标结果如有异议的，应当在中标结果公告期限届满之日起七个工作日内以书面形式向采购人或采购代理机构提出质疑，并附相关证明材料。</w:t>
      </w:r>
    </w:p>
    <w:p>
      <w:pPr>
        <w:spacing w:line="400" w:lineRule="exact"/>
        <w:ind w:right="12" w:firstLine="480"/>
        <w:rPr>
          <w:rFonts w:hint="eastAsia" w:ascii="仿宋" w:hAnsi="仿宋" w:eastAsia="仿宋" w:cs="仿宋"/>
          <w:sz w:val="24"/>
        </w:rPr>
      </w:pPr>
      <w:r>
        <w:rPr>
          <w:rFonts w:hint="eastAsia" w:ascii="仿宋" w:hAnsi="仿宋" w:eastAsia="仿宋" w:cs="仿宋"/>
          <w:sz w:val="24"/>
          <w:lang w:val="en-US" w:eastAsia="zh-CN"/>
        </w:rPr>
        <w:t>2.3</w:t>
      </w:r>
      <w:r>
        <w:rPr>
          <w:rFonts w:hint="eastAsia" w:ascii="仿宋" w:hAnsi="仿宋" w:eastAsia="仿宋" w:cs="仿宋"/>
          <w:sz w:val="24"/>
        </w:rPr>
        <w:t>投标人对招标文件中的投标人特定资格条件、技术质量和商务要求、评审标准有异议的，应主要向采购人提出质疑，其他问题可向采购代理机构提出质疑。</w:t>
      </w:r>
    </w:p>
    <w:p>
      <w:pPr>
        <w:spacing w:line="400" w:lineRule="exact"/>
        <w:ind w:right="12" w:firstLine="480"/>
        <w:rPr>
          <w:rFonts w:hint="eastAsia" w:ascii="仿宋" w:hAnsi="仿宋" w:eastAsia="仿宋"/>
          <w:sz w:val="24"/>
        </w:rPr>
      </w:pPr>
      <w:r>
        <w:rPr>
          <w:rFonts w:hint="eastAsia" w:ascii="仿宋" w:hAnsi="仿宋" w:eastAsia="仿宋" w:cs="仿宋"/>
          <w:sz w:val="24"/>
          <w:lang w:val="en-US" w:eastAsia="zh-CN"/>
        </w:rPr>
        <w:t>2.4</w:t>
      </w:r>
      <w:r>
        <w:rPr>
          <w:rFonts w:hint="eastAsia" w:ascii="仿宋" w:hAnsi="仿宋" w:eastAsia="仿宋" w:cs="仿宋"/>
          <w:sz w:val="24"/>
        </w:rPr>
        <w:t>采购人、采购代理机构应当在收到投标人的书面质疑后七个工作日内作出答复，并以书面形式通知质疑投标人和其他有关投标人。</w:t>
      </w:r>
    </w:p>
    <w:p>
      <w:pPr>
        <w:pStyle w:val="4"/>
        <w:spacing w:line="400" w:lineRule="exact"/>
        <w:ind w:firstLine="482" w:firstLineChars="200"/>
        <w:rPr>
          <w:rFonts w:hint="eastAsia" w:ascii="仿宋" w:hAnsi="仿宋" w:eastAsia="仿宋"/>
          <w:b/>
          <w:color w:val="auto"/>
          <w:sz w:val="24"/>
          <w:highlight w:val="none"/>
          <w:lang w:val="en-US" w:eastAsia="zh-CN"/>
        </w:rPr>
      </w:pPr>
      <w:r>
        <w:rPr>
          <w:rFonts w:hint="eastAsia" w:ascii="仿宋" w:hAnsi="仿宋" w:eastAsia="仿宋"/>
          <w:b/>
          <w:color w:val="auto"/>
          <w:sz w:val="24"/>
          <w:highlight w:val="none"/>
          <w:lang w:eastAsia="zh-CN"/>
        </w:rPr>
        <w:t>九</w:t>
      </w:r>
      <w:r>
        <w:rPr>
          <w:rFonts w:hint="eastAsia" w:ascii="仿宋" w:hAnsi="仿宋" w:eastAsia="仿宋"/>
          <w:b/>
          <w:color w:val="auto"/>
          <w:sz w:val="24"/>
          <w:highlight w:val="none"/>
        </w:rPr>
        <w:t>、</w:t>
      </w:r>
      <w:bookmarkEnd w:id="39"/>
      <w:r>
        <w:rPr>
          <w:rFonts w:hint="eastAsia" w:ascii="仿宋" w:hAnsi="仿宋" w:eastAsia="仿宋"/>
          <w:b/>
          <w:color w:val="auto"/>
          <w:sz w:val="24"/>
          <w:highlight w:val="none"/>
          <w:lang w:val="en-US" w:eastAsia="zh-CN"/>
        </w:rPr>
        <w:t>代理服务费</w:t>
      </w:r>
    </w:p>
    <w:p>
      <w:pPr>
        <w:spacing w:line="400" w:lineRule="exact"/>
        <w:ind w:right="12"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zh-CN"/>
        </w:rPr>
        <w:t>按照国家发改委发改办价格〔2003〕857号文、计价格〔2002〕1980号文、发改价格〔2011〕534文规定的收费标准，以中标价为基数计算计取，并包含在投标报价中，由中标人在领取中标通知书时一次性支付给招标代理公司</w:t>
      </w:r>
      <w:r>
        <w:rPr>
          <w:rFonts w:hint="default" w:ascii="仿宋" w:hAnsi="仿宋" w:eastAsia="仿宋" w:cs="仿宋"/>
          <w:color w:val="auto"/>
          <w:sz w:val="24"/>
          <w:highlight w:val="none"/>
          <w:lang w:val="en-US" w:eastAsia="zh-CN"/>
        </w:rPr>
        <w:t>。</w:t>
      </w:r>
    </w:p>
    <w:p>
      <w:pPr>
        <w:pStyle w:val="4"/>
        <w:spacing w:line="400" w:lineRule="exact"/>
        <w:ind w:firstLine="482" w:firstLineChars="200"/>
        <w:rPr>
          <w:rFonts w:hint="eastAsia" w:ascii="仿宋" w:hAnsi="仿宋" w:eastAsia="仿宋"/>
          <w:b/>
          <w:color w:val="auto"/>
          <w:sz w:val="24"/>
          <w:highlight w:val="none"/>
        </w:rPr>
      </w:pPr>
      <w:bookmarkStart w:id="40" w:name="_Toc18331"/>
      <w:r>
        <w:rPr>
          <w:rFonts w:hint="eastAsia" w:ascii="仿宋" w:hAnsi="仿宋" w:eastAsia="仿宋"/>
          <w:b/>
          <w:color w:val="auto"/>
          <w:sz w:val="24"/>
          <w:highlight w:val="none"/>
        </w:rPr>
        <w:t>十、签订合同</w:t>
      </w:r>
      <w:bookmarkEnd w:id="40"/>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（一）采购人应当自中标通知书发出之日起三十日内，按照招标文件和中标人投标文件的约定，与中标人签订书面合同。所签订的合同不得对招标文件和中标人投标文件作实质性修改。</w:t>
      </w:r>
    </w:p>
    <w:p>
      <w:pPr>
        <w:spacing w:line="4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（二）合同原则上应按照《重庆市政府采购合同》签订，相关单位要求适用合同通用格式版本的，应按其要求另行签订其他合同。</w:t>
      </w:r>
    </w:p>
    <w:p>
      <w:pPr>
        <w:pStyle w:val="3"/>
        <w:spacing w:before="0" w:beforeLines="0" w:after="0" w:afterLines="0" w:line="360" w:lineRule="auto"/>
        <w:rPr>
          <w:rFonts w:hint="eastAsia" w:ascii="仿宋" w:hAnsi="仿宋" w:eastAsia="仿宋"/>
          <w:b/>
          <w:color w:val="auto"/>
          <w:szCs w:val="22"/>
          <w:highlight w:val="none"/>
        </w:rPr>
      </w:pPr>
      <w:r>
        <w:rPr>
          <w:rFonts w:ascii="仿宋" w:hAnsi="仿宋" w:eastAsia="仿宋"/>
          <w:color w:val="auto"/>
          <w:highlight w:val="none"/>
        </w:rPr>
        <w:br w:type="page"/>
      </w:r>
      <w:bookmarkStart w:id="41" w:name="_Toc27138"/>
      <w:r>
        <w:rPr>
          <w:rFonts w:hint="eastAsia" w:ascii="仿宋" w:hAnsi="仿宋" w:eastAsia="仿宋"/>
          <w:b/>
          <w:color w:val="auto"/>
          <w:highlight w:val="none"/>
        </w:rPr>
        <w:t>第六篇  合同主要条款和格式合</w:t>
      </w:r>
      <w:r>
        <w:rPr>
          <w:rFonts w:hint="eastAsia" w:ascii="仿宋" w:hAnsi="仿宋" w:eastAsia="仿宋"/>
          <w:b/>
          <w:color w:val="auto"/>
          <w:szCs w:val="22"/>
          <w:highlight w:val="none"/>
        </w:rPr>
        <w:t>同</w:t>
      </w:r>
      <w:bookmarkEnd w:id="41"/>
      <w:bookmarkStart w:id="42" w:name="_Toc6528"/>
      <w:r>
        <w:rPr>
          <w:rFonts w:hint="eastAsia" w:ascii="仿宋" w:hAnsi="仿宋" w:eastAsia="仿宋"/>
          <w:b/>
          <w:color w:val="auto"/>
          <w:szCs w:val="22"/>
          <w:highlight w:val="none"/>
        </w:rPr>
        <w:t>（另册）</w:t>
      </w:r>
    </w:p>
    <w:p>
      <w:pPr>
        <w:jc w:val="center"/>
        <w:rPr>
          <w:rFonts w:hint="default" w:eastAsia="仿宋"/>
          <w:color w:val="auto"/>
          <w:highlight w:val="none"/>
          <w:lang w:val="en-US" w:eastAsia="zh-CN"/>
        </w:rPr>
      </w:pPr>
      <w:r>
        <w:rPr>
          <w:rFonts w:hint="eastAsia" w:ascii="仿宋" w:hAnsi="仿宋" w:eastAsia="仿宋"/>
          <w:b/>
          <w:color w:val="auto"/>
          <w:szCs w:val="22"/>
          <w:highlight w:val="none"/>
          <w:lang w:val="en-US" w:eastAsia="zh-CN"/>
        </w:rPr>
        <w:t>按现行相关法律法规自行签订</w:t>
      </w:r>
    </w:p>
    <w:p>
      <w:pPr>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67"/>
        <w:rPr>
          <w:rFonts w:hint="eastAsia" w:ascii="仿宋" w:hAnsi="仿宋" w:eastAsia="仿宋"/>
          <w:b/>
          <w:color w:val="auto"/>
          <w:highlight w:val="none"/>
        </w:rPr>
      </w:pPr>
    </w:p>
    <w:p>
      <w:pPr>
        <w:pStyle w:val="3"/>
        <w:spacing w:before="0" w:beforeLines="0" w:after="0" w:afterLines="0" w:line="360" w:lineRule="auto"/>
        <w:jc w:val="both"/>
        <w:rPr>
          <w:rFonts w:hint="eastAsia" w:ascii="仿宋" w:hAnsi="仿宋" w:eastAsia="仿宋"/>
          <w:b/>
          <w:color w:val="auto"/>
          <w:highlight w:val="none"/>
        </w:rPr>
      </w:pPr>
    </w:p>
    <w:p>
      <w:pPr>
        <w:pStyle w:val="3"/>
        <w:spacing w:before="0" w:beforeLines="0" w:after="0" w:afterLines="0" w:line="360" w:lineRule="auto"/>
        <w:rPr>
          <w:rFonts w:hint="eastAsia" w:ascii="仿宋" w:hAnsi="仿宋" w:eastAsia="仿宋"/>
          <w:b/>
          <w:color w:val="auto"/>
          <w:highlight w:val="none"/>
        </w:rPr>
      </w:pPr>
      <w:r>
        <w:rPr>
          <w:rFonts w:hint="eastAsia" w:ascii="仿宋" w:hAnsi="仿宋" w:eastAsia="仿宋"/>
          <w:b/>
          <w:color w:val="auto"/>
          <w:highlight w:val="none"/>
        </w:rPr>
        <w:t>第七篇  投标文件格式</w:t>
      </w:r>
      <w:bookmarkEnd w:id="42"/>
    </w:p>
    <w:p>
      <w:pPr>
        <w:snapToGrid w:val="0"/>
        <w:spacing w:line="44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一、经济文件</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（一）开标一览表</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（二）分项报价明细表</w:t>
      </w:r>
    </w:p>
    <w:p>
      <w:pPr>
        <w:snapToGrid w:val="0"/>
        <w:spacing w:line="44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二、技术文件</w:t>
      </w:r>
      <w:r>
        <w:rPr>
          <w:rFonts w:hint="eastAsia" w:ascii="仿宋" w:hAnsi="仿宋" w:eastAsia="仿宋" w:cs="Times New Roman"/>
          <w:b/>
          <w:color w:val="auto"/>
          <w:sz w:val="24"/>
          <w:szCs w:val="24"/>
          <w:highlight w:val="none"/>
          <w:lang w:eastAsia="zh-CN"/>
        </w:rPr>
        <w:t>（</w:t>
      </w:r>
      <w:r>
        <w:rPr>
          <w:rFonts w:hint="eastAsia" w:ascii="仿宋" w:hAnsi="仿宋" w:eastAsia="仿宋" w:cs="Times New Roman"/>
          <w:b/>
          <w:color w:val="auto"/>
          <w:sz w:val="24"/>
          <w:szCs w:val="24"/>
          <w:highlight w:val="none"/>
          <w:lang w:val="en-US" w:eastAsia="zh-CN"/>
        </w:rPr>
        <w:t>单独装订、暗标评审</w:t>
      </w:r>
      <w:r>
        <w:rPr>
          <w:rFonts w:hint="eastAsia" w:ascii="仿宋" w:hAnsi="仿宋" w:eastAsia="仿宋" w:cs="Times New Roman"/>
          <w:b/>
          <w:color w:val="auto"/>
          <w:sz w:val="24"/>
          <w:szCs w:val="24"/>
          <w:highlight w:val="none"/>
          <w:lang w:eastAsia="zh-CN"/>
        </w:rPr>
        <w:t>）</w:t>
      </w:r>
    </w:p>
    <w:p>
      <w:pPr>
        <w:snapToGrid w:val="0"/>
        <w:spacing w:line="440" w:lineRule="exact"/>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（一）</w:t>
      </w:r>
      <w:r>
        <w:rPr>
          <w:rFonts w:hint="eastAsia" w:ascii="仿宋" w:hAnsi="仿宋" w:eastAsia="仿宋"/>
          <w:color w:val="auto"/>
          <w:sz w:val="24"/>
          <w:szCs w:val="24"/>
          <w:highlight w:val="none"/>
          <w:lang w:val="en-US" w:eastAsia="zh-CN"/>
        </w:rPr>
        <w:t>服务方案</w:t>
      </w:r>
    </w:p>
    <w:p>
      <w:pPr>
        <w:snapToGrid w:val="0"/>
        <w:spacing w:line="44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三、商务文件</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（一）投标函（格式）</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（二）商务条款差异表</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（三）商务及售后服务承诺</w:t>
      </w:r>
    </w:p>
    <w:p>
      <w:pPr>
        <w:tabs>
          <w:tab w:val="left" w:pos="1764"/>
        </w:tabs>
        <w:snapToGrid w:val="0"/>
        <w:spacing w:line="44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四、其他</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（一）其他与项目有关的资料（自附）</w:t>
      </w:r>
    </w:p>
    <w:p>
      <w:pPr>
        <w:snapToGrid w:val="0"/>
        <w:spacing w:line="44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五、资格文件</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（一）营业执照（副本）或事业单位法人证书（副本）复印件</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（二）组织机构代码证复印件</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（三）法定代表人身份证明书（格式）</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（四）法定代表人授权委托书（格式）</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（五）</w:t>
      </w:r>
      <w:r>
        <w:rPr>
          <w:rFonts w:hint="eastAsia" w:ascii="仿宋" w:hAnsi="仿宋" w:eastAsia="仿宋"/>
          <w:color w:val="auto"/>
          <w:sz w:val="24"/>
          <w:szCs w:val="24"/>
          <w:highlight w:val="none"/>
          <w:lang w:val="en-US" w:eastAsia="zh-CN"/>
        </w:rPr>
        <w:t>2021年度</w:t>
      </w:r>
      <w:r>
        <w:rPr>
          <w:rFonts w:hint="eastAsia" w:ascii="仿宋" w:hAnsi="仿宋" w:eastAsia="仿宋" w:cs="仿宋"/>
          <w:color w:val="auto"/>
          <w:kern w:val="0"/>
          <w:sz w:val="24"/>
          <w:szCs w:val="24"/>
          <w:highlight w:val="none"/>
        </w:rPr>
        <w:t>经会计师事务所或审计机构出具的合法有效的财务审计报告</w:t>
      </w:r>
      <w:r>
        <w:rPr>
          <w:rFonts w:hint="eastAsia" w:ascii="仿宋" w:hAnsi="仿宋" w:eastAsia="仿宋" w:cs="仿宋"/>
          <w:color w:val="auto"/>
          <w:kern w:val="0"/>
          <w:sz w:val="24"/>
          <w:szCs w:val="24"/>
          <w:highlight w:val="none"/>
          <w:lang w:eastAsia="zh-CN"/>
        </w:rPr>
        <w:t>或</w:t>
      </w:r>
      <w:r>
        <w:rPr>
          <w:rFonts w:hint="eastAsia" w:ascii="仿宋" w:hAnsi="仿宋" w:eastAsia="仿宋" w:cs="仿宋"/>
          <w:color w:val="auto"/>
          <w:kern w:val="0"/>
          <w:sz w:val="24"/>
          <w:szCs w:val="24"/>
          <w:highlight w:val="none"/>
        </w:rPr>
        <w:t>财务报表</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财务报表须至少包括现金流量表、资产负债表、利润表</w:t>
      </w:r>
      <w:r>
        <w:rPr>
          <w:rFonts w:hint="eastAsia" w:ascii="仿宋" w:hAnsi="仿宋" w:eastAsia="仿宋" w:cs="仿宋"/>
          <w:color w:val="auto"/>
          <w:kern w:val="0"/>
          <w:sz w:val="24"/>
          <w:szCs w:val="24"/>
          <w:highlight w:val="none"/>
          <w:lang w:eastAsia="zh-CN"/>
        </w:rPr>
        <w:t>。提供公司财务报表的需提供承诺并对财务报表的真实性负责</w:t>
      </w:r>
      <w:r>
        <w:rPr>
          <w:rFonts w:hint="eastAsia" w:ascii="仿宋" w:hAnsi="仿宋" w:eastAsia="仿宋"/>
          <w:color w:val="auto"/>
          <w:sz w:val="24"/>
          <w:szCs w:val="24"/>
          <w:highlight w:val="none"/>
        </w:rPr>
        <w:t>（格式）</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（六）书面声明（格式）</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（七）特定资格条件证书或证明文件</w:t>
      </w:r>
    </w:p>
    <w:p>
      <w:pPr>
        <w:snapToGrid w:val="0"/>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说明：投标人按“五证合一”登记制度办理营业执照的，组织机构代码证以投标人所提供的法人营业执照（副本）复印件为准。</w:t>
      </w:r>
    </w:p>
    <w:p>
      <w:pPr>
        <w:pStyle w:val="2"/>
        <w:rPr>
          <w:rFonts w:hint="eastAsia" w:ascii="仿宋" w:hAnsi="仿宋" w:eastAsia="仿宋"/>
          <w:color w:val="auto"/>
          <w:sz w:val="24"/>
          <w:szCs w:val="24"/>
          <w:highlight w:val="none"/>
        </w:rPr>
      </w:pPr>
    </w:p>
    <w:p>
      <w:pPr>
        <w:rPr>
          <w:rFonts w:hint="eastAsia" w:ascii="仿宋" w:hAnsi="仿宋" w:eastAsia="仿宋"/>
          <w:color w:val="auto"/>
          <w:sz w:val="24"/>
          <w:szCs w:val="24"/>
          <w:highlight w:val="none"/>
        </w:rPr>
      </w:pPr>
    </w:p>
    <w:p>
      <w:pPr>
        <w:pStyle w:val="2"/>
        <w:rPr>
          <w:rFonts w:hint="eastAsia" w:ascii="仿宋" w:hAnsi="仿宋" w:eastAsia="仿宋"/>
          <w:color w:val="auto"/>
          <w:sz w:val="24"/>
          <w:szCs w:val="24"/>
          <w:highlight w:val="none"/>
        </w:rPr>
      </w:pPr>
    </w:p>
    <w:p>
      <w:pPr>
        <w:rPr>
          <w:rFonts w:hint="eastAsia" w:ascii="仿宋" w:hAnsi="仿宋" w:eastAsia="仿宋"/>
          <w:color w:val="auto"/>
          <w:sz w:val="24"/>
          <w:szCs w:val="24"/>
          <w:highlight w:val="none"/>
        </w:rPr>
      </w:pPr>
    </w:p>
    <w:p>
      <w:pPr>
        <w:pStyle w:val="2"/>
        <w:rPr>
          <w:rFonts w:hint="eastAsia" w:ascii="仿宋" w:hAnsi="仿宋" w:eastAsia="仿宋"/>
          <w:color w:val="auto"/>
          <w:sz w:val="24"/>
          <w:szCs w:val="24"/>
          <w:highlight w:val="none"/>
        </w:rPr>
      </w:pPr>
    </w:p>
    <w:p>
      <w:pPr>
        <w:rPr>
          <w:rFonts w:hint="eastAsia" w:ascii="仿宋" w:hAnsi="仿宋" w:eastAsia="仿宋"/>
          <w:color w:val="auto"/>
          <w:sz w:val="24"/>
          <w:szCs w:val="24"/>
          <w:highlight w:val="none"/>
        </w:rPr>
      </w:pPr>
    </w:p>
    <w:p>
      <w:pPr>
        <w:pStyle w:val="2"/>
        <w:rPr>
          <w:rFonts w:hint="eastAsia" w:ascii="仿宋" w:hAnsi="仿宋" w:eastAsia="仿宋"/>
          <w:color w:val="auto"/>
          <w:sz w:val="24"/>
          <w:szCs w:val="24"/>
          <w:highlight w:val="none"/>
        </w:rPr>
      </w:pPr>
    </w:p>
    <w:p>
      <w:pPr>
        <w:pStyle w:val="4"/>
        <w:rPr>
          <w:rFonts w:ascii="仿宋" w:hAnsi="仿宋" w:eastAsia="仿宋" w:cs="仿宋"/>
          <w:snapToGrid w:val="0"/>
          <w:color w:val="auto"/>
          <w:kern w:val="0"/>
          <w:sz w:val="20"/>
        </w:rPr>
      </w:pPr>
    </w:p>
    <w:p>
      <w:pPr>
        <w:rPr>
          <w:rFonts w:ascii="仿宋" w:hAnsi="仿宋" w:eastAsia="仿宋" w:cs="仿宋"/>
          <w:snapToGrid w:val="0"/>
          <w:color w:val="auto"/>
          <w:kern w:val="0"/>
          <w:sz w:val="20"/>
        </w:rPr>
      </w:pPr>
    </w:p>
    <w:p>
      <w:pPr>
        <w:pStyle w:val="4"/>
      </w:pPr>
    </w:p>
    <w:p/>
    <w:p>
      <w:pPr>
        <w:autoSpaceDE w:val="0"/>
        <w:autoSpaceDN w:val="0"/>
        <w:adjustRightInd w:val="0"/>
        <w:spacing w:line="200" w:lineRule="exact"/>
        <w:jc w:val="left"/>
        <w:rPr>
          <w:rFonts w:ascii="仿宋" w:hAnsi="仿宋" w:eastAsia="仿宋" w:cs="仿宋"/>
          <w:snapToGrid w:val="0"/>
          <w:color w:val="auto"/>
          <w:kern w:val="0"/>
          <w:sz w:val="20"/>
        </w:rPr>
      </w:pPr>
    </w:p>
    <w:p>
      <w:pPr>
        <w:tabs>
          <w:tab w:val="left" w:pos="3395"/>
          <w:tab w:val="left" w:pos="5940"/>
        </w:tabs>
        <w:autoSpaceDE w:val="0"/>
        <w:autoSpaceDN w:val="0"/>
        <w:adjustRightInd w:val="0"/>
        <w:snapToGrid w:val="0"/>
        <w:spacing w:line="360" w:lineRule="auto"/>
        <w:jc w:val="center"/>
        <w:rPr>
          <w:rFonts w:ascii="仿宋" w:hAnsi="仿宋" w:eastAsia="仿宋" w:cs="仿宋"/>
          <w:b/>
          <w:color w:val="auto"/>
          <w:spacing w:val="1"/>
          <w:w w:val="99"/>
          <w:kern w:val="0"/>
          <w:sz w:val="32"/>
          <w:szCs w:val="32"/>
        </w:rPr>
      </w:pPr>
      <w:r>
        <w:rPr>
          <w:rFonts w:hint="eastAsia" w:ascii="仿宋" w:hAnsi="仿宋" w:eastAsia="仿宋" w:cs="仿宋"/>
          <w:b/>
          <w:color w:val="auto"/>
          <w:w w:val="99"/>
          <w:kern w:val="0"/>
          <w:sz w:val="28"/>
        </w:rPr>
        <w:t xml:space="preserve">    </w:t>
      </w:r>
      <w:r>
        <w:rPr>
          <w:rFonts w:hint="eastAsia" w:ascii="仿宋" w:hAnsi="仿宋" w:eastAsia="仿宋" w:cs="仿宋"/>
          <w:b/>
          <w:color w:val="auto"/>
          <w:w w:val="99"/>
          <w:kern w:val="0"/>
          <w:sz w:val="32"/>
          <w:szCs w:val="32"/>
        </w:rPr>
        <w:t xml:space="preserve">   </w:t>
      </w:r>
      <w:r>
        <w:rPr>
          <w:rFonts w:hint="eastAsia" w:ascii="仿宋" w:hAnsi="仿宋" w:eastAsia="仿宋" w:cs="仿宋"/>
          <w:b/>
          <w:color w:val="auto"/>
          <w:w w:val="99"/>
          <w:kern w:val="0"/>
          <w:sz w:val="32"/>
          <w:szCs w:val="32"/>
          <w:u w:val="single"/>
        </w:rPr>
        <w:t xml:space="preserve"> </w:t>
      </w:r>
      <w:r>
        <w:rPr>
          <w:rFonts w:hint="eastAsia" w:ascii="宋体" w:hAnsi="宋体" w:eastAsia="宋体" w:cs="宋体"/>
          <w:b/>
          <w:color w:val="auto"/>
          <w:sz w:val="32"/>
          <w:szCs w:val="32"/>
          <w:u w:val="single"/>
        </w:rPr>
        <w:t xml:space="preserve">                          </w:t>
      </w:r>
      <w:r>
        <w:rPr>
          <w:rFonts w:hint="eastAsia" w:ascii="仿宋" w:hAnsi="仿宋" w:eastAsia="仿宋" w:cs="仿宋"/>
          <w:b/>
          <w:color w:val="auto"/>
          <w:w w:val="99"/>
          <w:kern w:val="0"/>
          <w:sz w:val="32"/>
          <w:szCs w:val="32"/>
        </w:rPr>
        <w:t>（项目名称</w:t>
      </w:r>
      <w:r>
        <w:rPr>
          <w:rFonts w:hint="eastAsia" w:ascii="仿宋" w:hAnsi="仿宋" w:eastAsia="仿宋" w:cs="仿宋"/>
          <w:b/>
          <w:color w:val="auto"/>
          <w:spacing w:val="1"/>
          <w:w w:val="99"/>
          <w:kern w:val="0"/>
          <w:sz w:val="32"/>
          <w:szCs w:val="32"/>
        </w:rPr>
        <w:t>）</w:t>
      </w:r>
    </w:p>
    <w:p>
      <w:pPr>
        <w:tabs>
          <w:tab w:val="left" w:pos="3600"/>
          <w:tab w:val="left" w:pos="4480"/>
          <w:tab w:val="left" w:pos="5360"/>
        </w:tabs>
        <w:autoSpaceDE w:val="0"/>
        <w:autoSpaceDN w:val="0"/>
        <w:adjustRightInd w:val="0"/>
        <w:snapToGrid w:val="0"/>
        <w:spacing w:line="360" w:lineRule="auto"/>
        <w:jc w:val="left"/>
        <w:rPr>
          <w:rFonts w:ascii="仿宋" w:hAnsi="仿宋" w:eastAsia="仿宋" w:cs="仿宋"/>
          <w:color w:val="auto"/>
          <w:kern w:val="0"/>
          <w:sz w:val="44"/>
        </w:rPr>
      </w:pPr>
      <w:r>
        <w:rPr>
          <w:rFonts w:hint="eastAsia" w:ascii="仿宋" w:hAnsi="仿宋" w:eastAsia="仿宋" w:cs="仿宋"/>
          <w:color w:val="auto"/>
          <w:kern w:val="0"/>
          <w:sz w:val="44"/>
        </w:rPr>
        <w:t xml:space="preserve">          </w:t>
      </w:r>
    </w:p>
    <w:p>
      <w:pPr>
        <w:tabs>
          <w:tab w:val="left" w:pos="3600"/>
          <w:tab w:val="left" w:pos="4480"/>
          <w:tab w:val="left" w:pos="5360"/>
        </w:tabs>
        <w:autoSpaceDE w:val="0"/>
        <w:autoSpaceDN w:val="0"/>
        <w:adjustRightInd w:val="0"/>
        <w:snapToGrid w:val="0"/>
        <w:spacing w:line="360" w:lineRule="auto"/>
        <w:jc w:val="left"/>
        <w:rPr>
          <w:rFonts w:ascii="仿宋" w:hAnsi="仿宋" w:eastAsia="仿宋" w:cs="仿宋"/>
          <w:color w:val="auto"/>
          <w:kern w:val="0"/>
          <w:sz w:val="44"/>
        </w:rPr>
      </w:pP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color w:val="auto"/>
          <w:kern w:val="0"/>
          <w:sz w:val="84"/>
        </w:rPr>
      </w:pPr>
      <w:r>
        <w:rPr>
          <w:rFonts w:hint="eastAsia" w:ascii="仿宋" w:hAnsi="仿宋" w:eastAsia="仿宋" w:cs="仿宋"/>
          <w:b/>
          <w:color w:val="auto"/>
          <w:kern w:val="0"/>
          <w:sz w:val="84"/>
        </w:rPr>
        <w:t>投  标  文  件</w:t>
      </w:r>
    </w:p>
    <w:p>
      <w:pPr>
        <w:autoSpaceDE w:val="0"/>
        <w:autoSpaceDN w:val="0"/>
        <w:adjustRightInd w:val="0"/>
        <w:snapToGrid w:val="0"/>
        <w:spacing w:line="360" w:lineRule="auto"/>
        <w:jc w:val="left"/>
        <w:rPr>
          <w:rFonts w:ascii="仿宋" w:hAnsi="仿宋" w:eastAsia="仿宋" w:cs="仿宋"/>
          <w:color w:val="auto"/>
          <w:kern w:val="0"/>
          <w:sz w:val="16"/>
        </w:rPr>
      </w:pPr>
    </w:p>
    <w:p>
      <w:pPr>
        <w:autoSpaceDE w:val="0"/>
        <w:autoSpaceDN w:val="0"/>
        <w:adjustRightInd w:val="0"/>
        <w:snapToGrid w:val="0"/>
        <w:spacing w:line="360" w:lineRule="auto"/>
        <w:jc w:val="center"/>
        <w:rPr>
          <w:rFonts w:ascii="仿宋" w:hAnsi="仿宋" w:eastAsia="仿宋" w:cs="仿宋"/>
          <w:b/>
          <w:color w:val="auto"/>
          <w:kern w:val="0"/>
          <w:sz w:val="36"/>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pStyle w:val="4"/>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tabs>
          <w:tab w:val="left" w:pos="6080"/>
          <w:tab w:val="left" w:pos="6640"/>
        </w:tabs>
        <w:autoSpaceDE w:val="0"/>
        <w:autoSpaceDN w:val="0"/>
        <w:adjustRightInd w:val="0"/>
        <w:snapToGrid w:val="0"/>
        <w:spacing w:line="360" w:lineRule="auto"/>
        <w:jc w:val="center"/>
        <w:rPr>
          <w:rFonts w:ascii="仿宋" w:hAnsi="仿宋" w:eastAsia="仿宋" w:cs="仿宋"/>
          <w:b/>
          <w:color w:val="auto"/>
          <w:w w:val="99"/>
          <w:kern w:val="0"/>
          <w:sz w:val="28"/>
        </w:rPr>
      </w:pPr>
      <w:r>
        <w:rPr>
          <w:rFonts w:hint="eastAsia" w:ascii="仿宋" w:hAnsi="仿宋" w:eastAsia="仿宋" w:cs="仿宋"/>
          <w:b/>
          <w:color w:val="auto"/>
          <w:w w:val="99"/>
          <w:kern w:val="0"/>
          <w:sz w:val="28"/>
        </w:rPr>
        <w:t>投标人</w:t>
      </w:r>
      <w:r>
        <w:rPr>
          <w:rFonts w:hint="eastAsia" w:ascii="仿宋" w:hAnsi="仿宋" w:eastAsia="仿宋" w:cs="仿宋"/>
          <w:b/>
          <w:color w:val="auto"/>
          <w:spacing w:val="1"/>
          <w:w w:val="99"/>
          <w:kern w:val="0"/>
          <w:sz w:val="28"/>
        </w:rPr>
        <w:t>：</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（盖单位公章）</w:t>
      </w:r>
    </w:p>
    <w:p>
      <w:pPr>
        <w:tabs>
          <w:tab w:val="left" w:pos="6080"/>
          <w:tab w:val="left" w:pos="6640"/>
        </w:tabs>
        <w:autoSpaceDE w:val="0"/>
        <w:autoSpaceDN w:val="0"/>
        <w:adjustRightInd w:val="0"/>
        <w:snapToGrid w:val="0"/>
        <w:spacing w:line="360" w:lineRule="auto"/>
        <w:jc w:val="center"/>
        <w:rPr>
          <w:rFonts w:hint="eastAsia" w:ascii="仿宋" w:hAnsi="仿宋" w:eastAsia="仿宋" w:cs="仿宋"/>
          <w:b/>
          <w:color w:val="auto"/>
          <w:w w:val="99"/>
          <w:kern w:val="0"/>
          <w:sz w:val="28"/>
        </w:rPr>
      </w:pPr>
      <w:r>
        <w:rPr>
          <w:rFonts w:hint="eastAsia" w:ascii="仿宋" w:hAnsi="仿宋" w:eastAsia="仿宋" w:cs="仿宋"/>
          <w:b/>
          <w:color w:val="auto"/>
          <w:w w:val="99"/>
          <w:kern w:val="0"/>
          <w:sz w:val="28"/>
        </w:rPr>
        <w:t>法定代表人或其委托代理人：</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（签字或盖章）</w:t>
      </w:r>
    </w:p>
    <w:p>
      <w:pPr>
        <w:jc w:val="center"/>
        <w:rPr>
          <w:rFonts w:hint="eastAsia"/>
        </w:rPr>
      </w:pPr>
      <w:r>
        <w:rPr>
          <w:rFonts w:hint="eastAsia" w:ascii="仿宋" w:hAnsi="仿宋" w:eastAsia="仿宋" w:cs="仿宋"/>
          <w:b/>
          <w:color w:val="auto"/>
          <w:w w:val="99"/>
          <w:kern w:val="0"/>
          <w:sz w:val="28"/>
          <w:u w:val="single"/>
          <w:lang w:val="en-US" w:eastAsia="zh-CN"/>
        </w:rPr>
        <w:t xml:space="preserve">     </w:t>
      </w:r>
      <w:r>
        <w:rPr>
          <w:rFonts w:hint="eastAsia" w:ascii="仿宋" w:hAnsi="仿宋" w:eastAsia="仿宋" w:cs="仿宋"/>
          <w:b/>
          <w:color w:val="auto"/>
          <w:w w:val="99"/>
          <w:kern w:val="0"/>
          <w:sz w:val="28"/>
        </w:rPr>
        <w:t>年</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月</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日</w:t>
      </w:r>
      <w:r>
        <w:rPr>
          <w:rFonts w:ascii="仿宋" w:hAnsi="仿宋" w:eastAsia="仿宋" w:cs="仿宋"/>
          <w:b/>
          <w:color w:val="auto"/>
          <w:w w:val="99"/>
          <w:kern w:val="0"/>
          <w:sz w:val="28"/>
        </w:rPr>
        <w:br w:type="page"/>
      </w:r>
    </w:p>
    <w:p>
      <w:pPr>
        <w:pStyle w:val="4"/>
        <w:pageBreakBefore/>
        <w:spacing w:line="500" w:lineRule="exact"/>
        <w:rPr>
          <w:rFonts w:hint="eastAsia" w:ascii="仿宋" w:hAnsi="仿宋" w:eastAsia="仿宋"/>
          <w:b/>
          <w:color w:val="auto"/>
          <w:szCs w:val="28"/>
          <w:highlight w:val="none"/>
        </w:rPr>
      </w:pPr>
      <w:bookmarkStart w:id="43" w:name="_Toc429584884"/>
      <w:bookmarkStart w:id="44" w:name="_Toc492721037"/>
      <w:bookmarkStart w:id="45" w:name="_Toc1017"/>
      <w:r>
        <w:rPr>
          <w:rFonts w:hint="eastAsia" w:ascii="仿宋" w:hAnsi="仿宋" w:eastAsia="仿宋"/>
          <w:b/>
          <w:color w:val="auto"/>
          <w:szCs w:val="28"/>
          <w:highlight w:val="none"/>
        </w:rPr>
        <w:t>一、经济文件</w:t>
      </w:r>
      <w:bookmarkEnd w:id="43"/>
      <w:bookmarkEnd w:id="44"/>
      <w:bookmarkEnd w:id="45"/>
    </w:p>
    <w:p>
      <w:pPr>
        <w:snapToGrid w:val="0"/>
        <w:spacing w:line="500" w:lineRule="exact"/>
        <w:jc w:val="center"/>
        <w:rPr>
          <w:rFonts w:hint="eastAsia" w:ascii="仿宋" w:hAnsi="仿宋" w:eastAsia="仿宋"/>
          <w:color w:val="auto"/>
          <w:szCs w:val="36"/>
          <w:highlight w:val="none"/>
        </w:rPr>
      </w:pPr>
      <w:r>
        <w:rPr>
          <w:rFonts w:hint="eastAsia" w:ascii="仿宋" w:hAnsi="仿宋" w:eastAsia="仿宋"/>
          <w:color w:val="auto"/>
          <w:szCs w:val="36"/>
          <w:highlight w:val="none"/>
        </w:rPr>
        <w:t>（一）开标一览表</w:t>
      </w:r>
    </w:p>
    <w:p>
      <w:pPr>
        <w:pStyle w:val="67"/>
        <w:rPr>
          <w:rFonts w:hint="eastAsia"/>
          <w:color w:val="auto"/>
          <w:highlight w:val="none"/>
        </w:rPr>
      </w:pP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7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927" w:type="dxa"/>
            <w:vAlign w:val="center"/>
          </w:tcPr>
          <w:p>
            <w:pPr>
              <w:spacing w:line="500" w:lineRule="exact"/>
              <w:jc w:val="center"/>
              <w:rPr>
                <w:rFonts w:hint="eastAsia" w:ascii="仿宋" w:hAnsi="仿宋" w:eastAsia="仿宋"/>
                <w:color w:val="auto"/>
                <w:sz w:val="21"/>
                <w:szCs w:val="28"/>
                <w:highlight w:val="none"/>
              </w:rPr>
            </w:pPr>
            <w:r>
              <w:rPr>
                <w:rFonts w:hint="eastAsia" w:ascii="仿宋" w:hAnsi="仿宋" w:eastAsia="仿宋"/>
                <w:color w:val="auto"/>
                <w:sz w:val="21"/>
                <w:szCs w:val="28"/>
                <w:highlight w:val="none"/>
              </w:rPr>
              <w:t>投标人名称</w:t>
            </w:r>
          </w:p>
        </w:tc>
        <w:tc>
          <w:tcPr>
            <w:tcW w:w="7701" w:type="dxa"/>
            <w:vAlign w:val="center"/>
          </w:tcPr>
          <w:p>
            <w:pPr>
              <w:spacing w:line="500" w:lineRule="exact"/>
              <w:jc w:val="center"/>
              <w:rPr>
                <w:rFonts w:hint="eastAsia" w:ascii="仿宋" w:hAnsi="仿宋" w:eastAsia="仿宋"/>
                <w:color w:val="auto"/>
                <w:sz w:val="21"/>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927" w:type="dxa"/>
            <w:vAlign w:val="center"/>
          </w:tcPr>
          <w:p>
            <w:pPr>
              <w:spacing w:line="500" w:lineRule="exact"/>
              <w:jc w:val="center"/>
              <w:rPr>
                <w:rFonts w:hint="eastAsia" w:ascii="仿宋" w:hAnsi="仿宋" w:eastAsia="仿宋"/>
                <w:color w:val="auto"/>
                <w:sz w:val="21"/>
                <w:szCs w:val="28"/>
                <w:highlight w:val="none"/>
                <w:lang w:val="en-US" w:eastAsia="zh-CN"/>
              </w:rPr>
            </w:pPr>
            <w:r>
              <w:rPr>
                <w:rFonts w:hint="eastAsia" w:ascii="仿宋" w:hAnsi="仿宋" w:eastAsia="仿宋"/>
                <w:color w:val="auto"/>
                <w:sz w:val="21"/>
                <w:szCs w:val="28"/>
                <w:highlight w:val="none"/>
                <w:lang w:eastAsia="zh-CN"/>
              </w:rPr>
              <w:t>项目名称</w:t>
            </w:r>
          </w:p>
        </w:tc>
        <w:tc>
          <w:tcPr>
            <w:tcW w:w="7701" w:type="dxa"/>
            <w:vAlign w:val="center"/>
          </w:tcPr>
          <w:p>
            <w:pPr>
              <w:spacing w:line="500" w:lineRule="exact"/>
              <w:jc w:val="center"/>
              <w:rPr>
                <w:rFonts w:hint="eastAsia" w:ascii="仿宋" w:hAnsi="仿宋" w:eastAsia="仿宋"/>
                <w:color w:val="auto"/>
                <w:sz w:val="21"/>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927" w:type="dxa"/>
            <w:tcBorders>
              <w:bottom w:val="single" w:color="auto" w:sz="4" w:space="0"/>
            </w:tcBorders>
            <w:vAlign w:val="center"/>
          </w:tcPr>
          <w:p>
            <w:pPr>
              <w:spacing w:line="500" w:lineRule="exact"/>
              <w:jc w:val="center"/>
              <w:rPr>
                <w:rFonts w:hint="eastAsia" w:ascii="仿宋" w:hAnsi="仿宋" w:eastAsia="仿宋"/>
                <w:color w:val="auto"/>
                <w:sz w:val="21"/>
                <w:szCs w:val="28"/>
                <w:highlight w:val="none"/>
              </w:rPr>
            </w:pPr>
            <w:r>
              <w:rPr>
                <w:rFonts w:hint="eastAsia" w:ascii="仿宋" w:hAnsi="仿宋" w:eastAsia="仿宋"/>
                <w:color w:val="auto"/>
                <w:sz w:val="21"/>
                <w:szCs w:val="28"/>
                <w:highlight w:val="none"/>
              </w:rPr>
              <w:t>投标报价（</w:t>
            </w:r>
            <w:r>
              <w:rPr>
                <w:rFonts w:hint="eastAsia" w:ascii="仿宋" w:hAnsi="仿宋" w:eastAsia="仿宋"/>
                <w:color w:val="auto"/>
                <w:sz w:val="21"/>
                <w:szCs w:val="28"/>
                <w:highlight w:val="none"/>
                <w:lang w:eastAsia="zh-CN"/>
              </w:rPr>
              <w:t>小</w:t>
            </w:r>
            <w:r>
              <w:rPr>
                <w:rFonts w:hint="eastAsia" w:ascii="仿宋" w:hAnsi="仿宋" w:eastAsia="仿宋"/>
                <w:color w:val="auto"/>
                <w:sz w:val="21"/>
                <w:szCs w:val="28"/>
                <w:highlight w:val="none"/>
              </w:rPr>
              <w:t>写）：</w:t>
            </w:r>
          </w:p>
        </w:tc>
        <w:tc>
          <w:tcPr>
            <w:tcW w:w="7701" w:type="dxa"/>
            <w:tcBorders>
              <w:bottom w:val="single" w:color="auto" w:sz="4" w:space="0"/>
            </w:tcBorders>
            <w:vAlign w:val="top"/>
          </w:tcPr>
          <w:p>
            <w:pPr>
              <w:spacing w:line="500" w:lineRule="exact"/>
              <w:rPr>
                <w:rFonts w:hint="default" w:ascii="仿宋" w:hAnsi="仿宋" w:eastAsia="仿宋"/>
                <w:color w:val="auto"/>
                <w:sz w:val="21"/>
                <w:szCs w:val="28"/>
                <w:highlight w:val="none"/>
                <w:lang w:val="en-US" w:eastAsia="zh-CN"/>
              </w:rPr>
            </w:pPr>
            <w:r>
              <w:rPr>
                <w:rFonts w:hint="eastAsia" w:ascii="仿宋" w:hAnsi="仿宋" w:eastAsia="仿宋"/>
                <w:color w:val="auto"/>
                <w:sz w:val="21"/>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1927" w:type="dxa"/>
            <w:tcBorders>
              <w:bottom w:val="single" w:color="auto" w:sz="4" w:space="0"/>
            </w:tcBorders>
            <w:vAlign w:val="center"/>
          </w:tcPr>
          <w:p>
            <w:pPr>
              <w:spacing w:line="560" w:lineRule="exact"/>
              <w:rPr>
                <w:rFonts w:hint="eastAsia" w:ascii="仿宋" w:hAnsi="仿宋" w:eastAsia="仿宋"/>
                <w:color w:val="auto"/>
                <w:sz w:val="21"/>
                <w:szCs w:val="28"/>
                <w:highlight w:val="none"/>
              </w:rPr>
            </w:pPr>
            <w:r>
              <w:rPr>
                <w:rFonts w:hint="eastAsia" w:ascii="仿宋" w:hAnsi="仿宋" w:eastAsia="仿宋"/>
                <w:color w:val="auto"/>
                <w:sz w:val="21"/>
                <w:szCs w:val="28"/>
                <w:highlight w:val="none"/>
              </w:rPr>
              <w:t xml:space="preserve">投标报价（大写）：                           </w:t>
            </w:r>
          </w:p>
        </w:tc>
        <w:tc>
          <w:tcPr>
            <w:tcW w:w="7701" w:type="dxa"/>
            <w:tcBorders>
              <w:bottom w:val="single" w:color="auto" w:sz="4" w:space="0"/>
            </w:tcBorders>
            <w:vAlign w:val="center"/>
          </w:tcPr>
          <w:p>
            <w:pPr>
              <w:spacing w:line="560" w:lineRule="exact"/>
              <w:rPr>
                <w:rFonts w:hint="eastAsia" w:ascii="仿宋" w:hAnsi="仿宋" w:eastAsia="仿宋"/>
                <w:color w:val="auto"/>
                <w:sz w:val="21"/>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2"/>
            <w:vAlign w:val="center"/>
          </w:tcPr>
          <w:p>
            <w:pPr>
              <w:pStyle w:val="32"/>
              <w:spacing w:line="500" w:lineRule="exact"/>
              <w:rPr>
                <w:rFonts w:hint="eastAsia" w:ascii="仿宋" w:hAnsi="仿宋" w:eastAsia="仿宋"/>
                <w:color w:val="auto"/>
                <w:sz w:val="21"/>
                <w:szCs w:val="28"/>
                <w:highlight w:val="none"/>
                <w:lang w:val="en-US" w:eastAsia="zh-CN"/>
              </w:rPr>
            </w:pPr>
            <w:r>
              <w:rPr>
                <w:rFonts w:hint="eastAsia" w:ascii="仿宋" w:hAnsi="仿宋" w:eastAsia="仿宋"/>
                <w:color w:val="auto"/>
                <w:sz w:val="21"/>
                <w:szCs w:val="28"/>
                <w:highlight w:val="none"/>
                <w:lang w:val="en-US" w:eastAsia="zh-CN"/>
              </w:rPr>
              <w:t xml:space="preserve">备注： </w:t>
            </w:r>
          </w:p>
        </w:tc>
      </w:tr>
    </w:tbl>
    <w:p>
      <w:pPr>
        <w:pStyle w:val="32"/>
        <w:spacing w:line="500" w:lineRule="exact"/>
        <w:rPr>
          <w:rFonts w:hint="eastAsia" w:ascii="仿宋" w:hAnsi="仿宋" w:eastAsia="仿宋"/>
          <w:color w:val="auto"/>
          <w:sz w:val="24"/>
          <w:szCs w:val="28"/>
          <w:highlight w:val="none"/>
        </w:rPr>
      </w:pPr>
    </w:p>
    <w:p>
      <w:pPr>
        <w:rPr>
          <w:rFonts w:hint="eastAsia" w:ascii="仿宋" w:hAnsi="仿宋" w:eastAsia="仿宋"/>
          <w:color w:val="auto"/>
          <w:highlight w:val="none"/>
        </w:rPr>
      </w:pPr>
    </w:p>
    <w:p>
      <w:pPr>
        <w:spacing w:line="500" w:lineRule="exact"/>
        <w:rPr>
          <w:rFonts w:hint="eastAsia" w:ascii="仿宋" w:hAnsi="仿宋" w:eastAsia="仿宋"/>
          <w:color w:val="auto"/>
          <w:sz w:val="24"/>
          <w:szCs w:val="28"/>
          <w:highlight w:val="none"/>
        </w:rPr>
      </w:pPr>
    </w:p>
    <w:p>
      <w:pPr>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投标人                               法定代表人或法定代表人授权代表：</w:t>
      </w:r>
    </w:p>
    <w:p>
      <w:pPr>
        <w:spacing w:line="500" w:lineRule="exac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（投标人公章）                               （签字或盖章）</w:t>
      </w:r>
    </w:p>
    <w:p>
      <w:pPr>
        <w:spacing w:line="500" w:lineRule="exact"/>
        <w:rPr>
          <w:rFonts w:hint="eastAsia" w:ascii="仿宋" w:hAnsi="仿宋" w:eastAsia="仿宋"/>
          <w:color w:val="auto"/>
          <w:sz w:val="24"/>
          <w:szCs w:val="28"/>
          <w:highlight w:val="none"/>
        </w:rPr>
      </w:pPr>
    </w:p>
    <w:p>
      <w:pPr>
        <w:spacing w:line="500" w:lineRule="exact"/>
        <w:rPr>
          <w:rFonts w:hint="eastAsia" w:ascii="仿宋" w:hAnsi="仿宋" w:eastAsia="仿宋"/>
          <w:color w:val="auto"/>
          <w:sz w:val="24"/>
          <w:szCs w:val="28"/>
          <w:highlight w:val="none"/>
        </w:rPr>
      </w:pPr>
    </w:p>
    <w:p>
      <w:pPr>
        <w:spacing w:line="500" w:lineRule="exac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年     月     日</w:t>
      </w:r>
    </w:p>
    <w:p>
      <w:pPr>
        <w:snapToGrid w:val="0"/>
        <w:spacing w:line="500" w:lineRule="exact"/>
        <w:ind w:firstLine="480" w:firstLineChars="200"/>
        <w:rPr>
          <w:rFonts w:hint="eastAsia" w:ascii="仿宋" w:hAnsi="仿宋" w:eastAsia="仿宋"/>
          <w:color w:val="auto"/>
          <w:sz w:val="24"/>
          <w:szCs w:val="28"/>
          <w:highlight w:val="none"/>
        </w:rPr>
      </w:pPr>
    </w:p>
    <w:p>
      <w:pPr>
        <w:snapToGrid w:val="0"/>
        <w:spacing w:line="500" w:lineRule="exact"/>
        <w:ind w:firstLine="480" w:firstLineChars="200"/>
        <w:rPr>
          <w:rFonts w:hint="eastAsia" w:ascii="仿宋" w:hAnsi="仿宋" w:eastAsia="仿宋"/>
          <w:color w:val="auto"/>
          <w:sz w:val="24"/>
          <w:szCs w:val="28"/>
          <w:highlight w:val="none"/>
        </w:rPr>
      </w:pPr>
    </w:p>
    <w:p>
      <w:pPr>
        <w:snapToGrid w:val="0"/>
        <w:spacing w:line="500" w:lineRule="exact"/>
        <w:ind w:firstLine="480" w:firstLineChars="200"/>
        <w:rPr>
          <w:rFonts w:hint="eastAsia" w:ascii="仿宋" w:hAnsi="仿宋" w:eastAsia="仿宋"/>
          <w:color w:val="auto"/>
          <w:sz w:val="24"/>
          <w:szCs w:val="28"/>
          <w:highlight w:val="none"/>
        </w:rPr>
      </w:pPr>
    </w:p>
    <w:p>
      <w:pPr>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说明：</w:t>
      </w:r>
    </w:p>
    <w:p>
      <w:pPr>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1.开标一览表按格式填列；</w:t>
      </w:r>
    </w:p>
    <w:p>
      <w:pPr>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2.开标一览表在开标大会上当众宣读，务必填写清楚，准确无误；</w:t>
      </w:r>
    </w:p>
    <w:p>
      <w:pPr>
        <w:snapToGrid w:val="0"/>
        <w:spacing w:line="500" w:lineRule="exact"/>
        <w:ind w:firstLine="560" w:firstLineChars="200"/>
        <w:rPr>
          <w:rFonts w:hint="eastAsia" w:ascii="仿宋" w:hAnsi="仿宋" w:eastAsia="仿宋"/>
          <w:color w:val="auto"/>
          <w:szCs w:val="36"/>
          <w:highlight w:val="none"/>
        </w:rPr>
      </w:pPr>
      <w:r>
        <w:rPr>
          <w:rFonts w:hint="eastAsia" w:ascii="仿宋" w:hAnsi="仿宋" w:eastAsia="仿宋"/>
          <w:color w:val="auto"/>
          <w:szCs w:val="28"/>
          <w:highlight w:val="none"/>
        </w:rPr>
        <w:br w:type="page"/>
      </w:r>
      <w:r>
        <w:rPr>
          <w:rFonts w:hint="eastAsia" w:ascii="仿宋" w:hAnsi="仿宋" w:eastAsia="仿宋"/>
          <w:color w:val="auto"/>
          <w:szCs w:val="36"/>
          <w:highlight w:val="none"/>
        </w:rPr>
        <w:t>（二）分项报价明细表</w:t>
      </w:r>
    </w:p>
    <w:tbl>
      <w:tblPr>
        <w:tblStyle w:val="57"/>
        <w:tblpPr w:leftFromText="180" w:rightFromText="180" w:vertAnchor="text" w:horzAnchor="page" w:tblpX="1244" w:tblpY="180"/>
        <w:tblOverlap w:val="never"/>
        <w:tblW w:w="10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1497"/>
        <w:gridCol w:w="2216"/>
        <w:gridCol w:w="480"/>
        <w:gridCol w:w="833"/>
        <w:gridCol w:w="734"/>
        <w:gridCol w:w="1590"/>
        <w:gridCol w:w="1495"/>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395"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  称</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型号规格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 位</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招采限价（含税单价）（(税率13%）</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招采合价（元）</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Q235B外PE内环氧涂塑钢管（1.6Mpa)</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φ426*10mm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Q235B外PE内环氧涂塑钢管（2.5Mpa)</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φ273*8mm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DN900-(1.6Mpa）,13mm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DN900-(2.0Mpa）,16mm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DN900-(1.6Mpa）,13mm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DN900-(2.0Mpa）,16mm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DN800-(1.6Mpa）,12mm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DN800-(2.0Mpa）,14mm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DN800-(2.5Mpa）,16mm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DN800-(1.6Mpa）,12mm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DN800-(2.0Mpa）,14mm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DN800-(2.5Mpa）,16mm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DN700-(1.6Mpa）,11mm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DN700-(2.5Mpa）,13mm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DN700-(1.6Mpa）,11mm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DN700-(2.5Mpa）,13mm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DN400-(1.6Mpa）,10mm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DN400-(1.6Mpa）,10mm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DN300-(2.5Mpa）,9mm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DN300-(2.5Mpa）,9mm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DN300-(2.0Mpa）,9mm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DN300-(2.0Mpa）,9mm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DN250-(2.5Mpa）,8mm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DN250-(2.5Mpa）,8mm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涂塑钢管45弯头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DN200-(1.6Mpa）,6mm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涂塑钢管90弯头</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DN200-(1.6Mpa）,6mm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DN900x100，PN16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DN900x100，PN20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DN900x250，PN16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DN900x250，PN20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DN800x80，PN16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DN800x80，PN20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DN800x80，PN25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DN800x250，PN16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DN800x250，PN20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DN800x250，PN25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DN700x80，PN16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DN700x80，PN25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DN700x250，PN16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钢制三通</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DN700x250，PN25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QB2-16C  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QB2-25C  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QB2-16C  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双口自动进排气阀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QB2-20C  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不锈钢楔式闸阀</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PE100给水管（1.6Mpa)</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涡轮传动双偏心橡胶软密封法兰蝶阀D342X-16Q</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球墨铸铁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涡轮传动双偏心橡胶软密封法兰蝶阀D342X-16Q</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球墨铸铁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涡轮传动三偏心金属硬密封法兰蝶阀D343H-20C</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排泥阀（暗杆式齿轮传动弹性座封闸阀）Z545H-25C</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排泥阀（暗杆式齿轮传动弹性座封闸阀）Z545X-16Q</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球墨铸铁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排泥阀（暗杆式齿轮传动弹性座封闸阀）Z545H-20C</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DN900,PN20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DN700,PN16</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蝶阀伸缩器</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DN700,PN25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钢制法兰片PN（MPa)1.6</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钢制法兰片PN（MPa)2.0</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钢制法兰片PN（MPa)2.5</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40cm宽DN800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40cm宽DN700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40cm宽DN300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热缩套</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40cm宽DN200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2767</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DN700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DN800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弹性改性聚四氟乙烯垫片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DN900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1.5米*1.5米 B125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1.2米*1.2米 B125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φ800mm  D400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三防铸铁井盖</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φ800mm  B125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钢带增强聚乙烯（PE）螺旋波纹管</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DN300  SN8</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497"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1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3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59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49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101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9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备注：单价包含材料供应、保险、包装、运输、装车、保管；不包含材料卸车、搬运等费用。</w:t>
            </w:r>
          </w:p>
        </w:tc>
      </w:tr>
    </w:tbl>
    <w:p>
      <w:pPr>
        <w:pStyle w:val="67"/>
        <w:rPr>
          <w:rFonts w:hint="eastAsia"/>
          <w:color w:val="auto"/>
          <w:highlight w:val="none"/>
        </w:rPr>
      </w:pPr>
    </w:p>
    <w:p>
      <w:pPr>
        <w:spacing w:line="500" w:lineRule="exact"/>
        <w:ind w:firstLine="600" w:firstLineChars="250"/>
        <w:rPr>
          <w:rFonts w:hint="eastAsia" w:ascii="仿宋" w:hAnsi="仿宋" w:eastAsia="仿宋"/>
          <w:color w:val="auto"/>
          <w:sz w:val="24"/>
          <w:szCs w:val="28"/>
          <w:highlight w:val="none"/>
        </w:rPr>
      </w:pPr>
    </w:p>
    <w:p>
      <w:pPr>
        <w:spacing w:line="500" w:lineRule="exact"/>
        <w:ind w:firstLine="600" w:firstLineChars="250"/>
        <w:rPr>
          <w:rFonts w:hint="eastAsia" w:ascii="仿宋" w:hAnsi="仿宋" w:eastAsia="仿宋"/>
          <w:color w:val="auto"/>
          <w:sz w:val="24"/>
          <w:szCs w:val="28"/>
          <w:highlight w:val="none"/>
        </w:rPr>
      </w:pPr>
    </w:p>
    <w:p>
      <w:pPr>
        <w:spacing w:line="500" w:lineRule="exact"/>
        <w:ind w:firstLine="600" w:firstLineChars="25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投标人：                           法定代表人或法定代表人授权代表：</w:t>
      </w:r>
    </w:p>
    <w:p>
      <w:pPr>
        <w:spacing w:line="500" w:lineRule="exac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（投标人公章）                               （签字或盖章）</w:t>
      </w:r>
    </w:p>
    <w:p>
      <w:pPr>
        <w:spacing w:line="500" w:lineRule="exact"/>
        <w:rPr>
          <w:rFonts w:hint="eastAsia" w:ascii="仿宋" w:hAnsi="仿宋" w:eastAsia="仿宋"/>
          <w:color w:val="auto"/>
          <w:sz w:val="24"/>
          <w:szCs w:val="28"/>
          <w:highlight w:val="none"/>
        </w:rPr>
      </w:pPr>
    </w:p>
    <w:p>
      <w:pPr>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年     月     日</w:t>
      </w:r>
    </w:p>
    <w:p>
      <w:pPr>
        <w:snapToGrid w:val="0"/>
        <w:spacing w:line="500" w:lineRule="exact"/>
        <w:ind w:firstLine="480" w:firstLineChars="200"/>
        <w:rPr>
          <w:rFonts w:hint="eastAsia" w:ascii="仿宋" w:hAnsi="仿宋" w:eastAsia="仿宋"/>
          <w:color w:val="auto"/>
          <w:sz w:val="24"/>
          <w:szCs w:val="28"/>
          <w:highlight w:val="none"/>
        </w:rPr>
      </w:pPr>
    </w:p>
    <w:p>
      <w:pPr>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注：</w:t>
      </w:r>
    </w:p>
    <w:p>
      <w:pPr>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1.请投标人完整填写本表；</w:t>
      </w:r>
    </w:p>
    <w:p>
      <w:pPr>
        <w:pStyle w:val="4"/>
        <w:pageBreakBefore/>
        <w:spacing w:line="500" w:lineRule="exact"/>
        <w:rPr>
          <w:rFonts w:hint="eastAsia" w:ascii="仿宋" w:hAnsi="仿宋" w:eastAsia="仿宋"/>
          <w:b/>
          <w:color w:val="auto"/>
          <w:sz w:val="24"/>
          <w:highlight w:val="none"/>
        </w:rPr>
      </w:pPr>
      <w:bookmarkStart w:id="46" w:name="_Toc25776"/>
      <w:r>
        <w:rPr>
          <w:rFonts w:hint="eastAsia" w:ascii="仿宋" w:hAnsi="仿宋" w:eastAsia="仿宋"/>
          <w:b/>
          <w:color w:val="auto"/>
          <w:szCs w:val="28"/>
          <w:highlight w:val="none"/>
        </w:rPr>
        <w:t>二、技术文件</w:t>
      </w:r>
      <w:bookmarkEnd w:id="46"/>
      <w:r>
        <w:rPr>
          <w:rFonts w:hint="eastAsia" w:ascii="仿宋" w:hAnsi="仿宋" w:eastAsia="仿宋"/>
          <w:b/>
          <w:color w:val="auto"/>
          <w:szCs w:val="28"/>
          <w:highlight w:val="none"/>
          <w:lang w:eastAsia="zh-CN"/>
        </w:rPr>
        <w:t>（</w:t>
      </w:r>
      <w:r>
        <w:rPr>
          <w:rFonts w:hint="eastAsia" w:ascii="仿宋" w:hAnsi="仿宋" w:eastAsia="仿宋"/>
          <w:b/>
          <w:color w:val="auto"/>
          <w:szCs w:val="28"/>
          <w:highlight w:val="none"/>
          <w:lang w:val="en-US" w:eastAsia="zh-CN"/>
        </w:rPr>
        <w:t>单独装订、暗标评审</w:t>
      </w:r>
      <w:r>
        <w:rPr>
          <w:rFonts w:hint="eastAsia" w:ascii="仿宋" w:hAnsi="仿宋" w:eastAsia="仿宋"/>
          <w:b/>
          <w:color w:val="auto"/>
          <w:szCs w:val="28"/>
          <w:highlight w:val="none"/>
          <w:lang w:eastAsia="zh-CN"/>
        </w:rPr>
        <w:t>）</w:t>
      </w:r>
    </w:p>
    <w:p>
      <w:pPr>
        <w:tabs>
          <w:tab w:val="left" w:pos="6300"/>
        </w:tabs>
        <w:snapToGrid w:val="0"/>
        <w:spacing w:line="500" w:lineRule="exact"/>
        <w:ind w:firstLine="570"/>
        <w:rPr>
          <w:rFonts w:hint="eastAsia" w:ascii="仿宋" w:hAnsi="仿宋" w:eastAsia="仿宋" w:cs="Times New Roman"/>
          <w:color w:val="auto"/>
          <w:kern w:val="2"/>
          <w:sz w:val="28"/>
          <w:szCs w:val="24"/>
          <w:highlight w:val="none"/>
          <w:lang w:val="en-US" w:eastAsia="zh-CN" w:bidi="ar-SA"/>
        </w:rPr>
      </w:pPr>
      <w:r>
        <w:rPr>
          <w:rFonts w:hint="eastAsia" w:ascii="仿宋" w:hAnsi="仿宋" w:eastAsia="仿宋"/>
          <w:color w:val="auto"/>
          <w:szCs w:val="24"/>
          <w:highlight w:val="none"/>
        </w:rPr>
        <w:t>（一）</w:t>
      </w:r>
      <w:r>
        <w:rPr>
          <w:rFonts w:hint="eastAsia" w:ascii="仿宋" w:hAnsi="仿宋" w:eastAsia="仿宋" w:cs="Times New Roman"/>
          <w:color w:val="auto"/>
          <w:kern w:val="2"/>
          <w:sz w:val="28"/>
          <w:szCs w:val="24"/>
          <w:highlight w:val="none"/>
          <w:lang w:val="en-US" w:eastAsia="zh-CN" w:bidi="ar-SA"/>
        </w:rPr>
        <w:t>服务方案</w:t>
      </w:r>
    </w:p>
    <w:p>
      <w:pPr>
        <w:pStyle w:val="67"/>
        <w:numPr>
          <w:ilvl w:val="0"/>
          <w:numId w:val="0"/>
        </w:numPr>
        <w:ind w:firstLine="840" w:firstLineChars="300"/>
        <w:jc w:val="left"/>
        <w:rPr>
          <w:rFonts w:hint="default" w:ascii="仿宋" w:hAnsi="仿宋" w:eastAsia="仿宋" w:cs="Times New Roman"/>
          <w:color w:val="auto"/>
          <w:kern w:val="2"/>
          <w:sz w:val="28"/>
          <w:szCs w:val="24"/>
          <w:highlight w:val="none"/>
          <w:lang w:val="en-US" w:eastAsia="zh-CN" w:bidi="ar-SA"/>
        </w:rPr>
      </w:pPr>
      <w:r>
        <w:rPr>
          <w:rFonts w:hint="eastAsia" w:eastAsia="仿宋" w:cs="Times New Roman"/>
          <w:color w:val="auto"/>
          <w:kern w:val="2"/>
          <w:sz w:val="28"/>
          <w:szCs w:val="24"/>
          <w:highlight w:val="none"/>
          <w:lang w:val="en-US" w:eastAsia="zh-CN" w:bidi="ar-SA"/>
        </w:rPr>
        <w:t>格式自拟</w:t>
      </w:r>
    </w:p>
    <w:p>
      <w:pPr>
        <w:snapToGrid w:val="0"/>
        <w:spacing w:line="500" w:lineRule="exact"/>
        <w:ind w:firstLine="480" w:firstLineChars="200"/>
        <w:rPr>
          <w:rFonts w:hint="eastAsia" w:ascii="仿宋" w:hAnsi="仿宋" w:eastAsia="仿宋"/>
          <w:color w:val="auto"/>
          <w:sz w:val="24"/>
          <w:szCs w:val="28"/>
          <w:highlight w:val="none"/>
        </w:rPr>
      </w:pPr>
    </w:p>
    <w:p>
      <w:pPr>
        <w:pStyle w:val="4"/>
        <w:pageBreakBefore/>
        <w:spacing w:line="500" w:lineRule="exact"/>
        <w:rPr>
          <w:rFonts w:hint="eastAsia" w:ascii="仿宋" w:hAnsi="仿宋" w:eastAsia="仿宋"/>
          <w:b/>
          <w:color w:val="auto"/>
          <w:szCs w:val="28"/>
          <w:highlight w:val="none"/>
        </w:rPr>
      </w:pPr>
      <w:bookmarkStart w:id="47" w:name="_Toc429584886"/>
      <w:bookmarkStart w:id="48" w:name="_Toc492721039"/>
      <w:bookmarkStart w:id="49" w:name="_Toc16471"/>
      <w:r>
        <w:rPr>
          <w:rFonts w:hint="eastAsia" w:ascii="仿宋" w:hAnsi="仿宋" w:eastAsia="仿宋"/>
          <w:b/>
          <w:color w:val="auto"/>
          <w:szCs w:val="28"/>
          <w:highlight w:val="none"/>
        </w:rPr>
        <w:t>三、商务文件</w:t>
      </w:r>
      <w:bookmarkEnd w:id="47"/>
      <w:bookmarkEnd w:id="48"/>
      <w:bookmarkEnd w:id="49"/>
    </w:p>
    <w:p>
      <w:pPr>
        <w:snapToGrid w:val="0"/>
        <w:spacing w:before="120" w:beforeLines="50" w:line="500" w:lineRule="exact"/>
        <w:jc w:val="center"/>
        <w:rPr>
          <w:rFonts w:hint="eastAsia" w:ascii="仿宋" w:hAnsi="仿宋" w:eastAsia="仿宋"/>
          <w:color w:val="auto"/>
          <w:szCs w:val="28"/>
          <w:highlight w:val="none"/>
        </w:rPr>
      </w:pPr>
      <w:r>
        <w:rPr>
          <w:rFonts w:hint="eastAsia" w:ascii="仿宋" w:hAnsi="仿宋" w:eastAsia="仿宋"/>
          <w:color w:val="auto"/>
          <w:szCs w:val="28"/>
          <w:highlight w:val="none"/>
        </w:rPr>
        <w:t>（一）投标函（格式）</w:t>
      </w:r>
    </w:p>
    <w:p>
      <w:pPr>
        <w:spacing w:line="500" w:lineRule="exact"/>
        <w:rPr>
          <w:rFonts w:hint="eastAsia" w:ascii="仿宋" w:hAnsi="仿宋" w:eastAsia="仿宋"/>
          <w:color w:val="auto"/>
          <w:sz w:val="24"/>
          <w:szCs w:val="28"/>
          <w:highlight w:val="none"/>
        </w:rPr>
      </w:pPr>
    </w:p>
    <w:p>
      <w:pPr>
        <w:spacing w:line="500" w:lineRule="exact"/>
        <w:ind w:firstLine="480" w:firstLineChars="200"/>
        <w:rPr>
          <w:rFonts w:hint="eastAsia" w:ascii="仿宋" w:hAnsi="仿宋" w:eastAsia="仿宋"/>
          <w:color w:val="auto"/>
          <w:sz w:val="24"/>
          <w:szCs w:val="28"/>
          <w:highlight w:val="none"/>
          <w:u w:val="single"/>
        </w:rPr>
      </w:pPr>
      <w:r>
        <w:rPr>
          <w:rFonts w:hint="eastAsia" w:ascii="仿宋" w:hAnsi="仿宋" w:eastAsia="仿宋"/>
          <w:color w:val="auto"/>
          <w:sz w:val="24"/>
          <w:szCs w:val="28"/>
          <w:highlight w:val="none"/>
        </w:rPr>
        <w:t>招标项目名称：</w:t>
      </w:r>
      <w:r>
        <w:rPr>
          <w:rFonts w:hint="eastAsia" w:ascii="仿宋" w:hAnsi="仿宋" w:eastAsia="仿宋"/>
          <w:color w:val="auto"/>
          <w:sz w:val="24"/>
          <w:szCs w:val="28"/>
          <w:highlight w:val="none"/>
          <w:u w:val="single"/>
        </w:rPr>
        <w:t xml:space="preserve">                                             </w:t>
      </w:r>
    </w:p>
    <w:p>
      <w:pPr>
        <w:spacing w:line="500" w:lineRule="exact"/>
        <w:rPr>
          <w:rFonts w:hint="eastAsia" w:ascii="仿宋" w:hAnsi="仿宋" w:eastAsia="仿宋"/>
          <w:color w:val="auto"/>
          <w:sz w:val="24"/>
          <w:szCs w:val="28"/>
          <w:highlight w:val="none"/>
        </w:rPr>
      </w:pPr>
    </w:p>
    <w:p>
      <w:pPr>
        <w:tabs>
          <w:tab w:val="left" w:pos="6300"/>
        </w:tabs>
        <w:snapToGrid w:val="0"/>
        <w:spacing w:line="500" w:lineRule="exac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致：</w:t>
      </w:r>
      <w:r>
        <w:rPr>
          <w:rFonts w:hint="eastAsia" w:ascii="仿宋" w:hAnsi="仿宋" w:eastAsia="仿宋"/>
          <w:color w:val="auto"/>
          <w:sz w:val="24"/>
          <w:szCs w:val="28"/>
          <w:highlight w:val="none"/>
          <w:u w:val="single"/>
        </w:rPr>
        <w:t xml:space="preserve">                    </w:t>
      </w:r>
      <w:r>
        <w:rPr>
          <w:rFonts w:hint="eastAsia" w:ascii="仿宋" w:hAnsi="仿宋" w:eastAsia="仿宋"/>
          <w:color w:val="auto"/>
          <w:sz w:val="24"/>
          <w:szCs w:val="28"/>
          <w:highlight w:val="none"/>
        </w:rPr>
        <w:t>（采购代理机构名称）：</w:t>
      </w:r>
    </w:p>
    <w:p>
      <w:pPr>
        <w:snapToGrid w:val="0"/>
        <w:spacing w:before="120" w:beforeLines="50"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u w:val="single"/>
        </w:rPr>
        <w:t xml:space="preserve">                        </w:t>
      </w:r>
      <w:r>
        <w:rPr>
          <w:rFonts w:hint="eastAsia" w:ascii="仿宋" w:hAnsi="仿宋" w:eastAsia="仿宋"/>
          <w:color w:val="auto"/>
          <w:sz w:val="24"/>
          <w:szCs w:val="28"/>
          <w:highlight w:val="none"/>
        </w:rPr>
        <w:t>（投标人名称）系中华人民共和国合法企业，注册地址：</w:t>
      </w:r>
      <w:r>
        <w:rPr>
          <w:rFonts w:hint="eastAsia" w:ascii="仿宋" w:hAnsi="仿宋" w:eastAsia="仿宋"/>
          <w:color w:val="auto"/>
          <w:sz w:val="24"/>
          <w:szCs w:val="28"/>
          <w:highlight w:val="none"/>
          <w:u w:val="single"/>
        </w:rPr>
        <w:t xml:space="preserve">                               </w:t>
      </w:r>
      <w:r>
        <w:rPr>
          <w:rFonts w:hint="eastAsia" w:ascii="仿宋" w:hAnsi="仿宋" w:eastAsia="仿宋"/>
          <w:color w:val="auto"/>
          <w:sz w:val="24"/>
          <w:szCs w:val="28"/>
          <w:highlight w:val="none"/>
        </w:rPr>
        <w:t>。我方就参加本次投标有关事项郑重声明如下：</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四、我方按招标文件要求提交的投标文件为：投标文件正本</w:t>
      </w:r>
      <w:r>
        <w:rPr>
          <w:rFonts w:hint="eastAsia" w:ascii="仿宋" w:hAnsi="仿宋" w:eastAsia="仿宋"/>
          <w:color w:val="auto"/>
          <w:sz w:val="24"/>
          <w:szCs w:val="28"/>
          <w:highlight w:val="none"/>
          <w:u w:val="none"/>
        </w:rPr>
        <w:t>1</w:t>
      </w:r>
      <w:r>
        <w:rPr>
          <w:rFonts w:hint="eastAsia" w:ascii="仿宋" w:hAnsi="仿宋" w:eastAsia="仿宋"/>
          <w:color w:val="auto"/>
          <w:sz w:val="24"/>
          <w:szCs w:val="28"/>
          <w:highlight w:val="none"/>
        </w:rPr>
        <w:t>份，副本</w:t>
      </w:r>
      <w:r>
        <w:rPr>
          <w:rFonts w:hint="eastAsia" w:ascii="仿宋" w:hAnsi="仿宋" w:eastAsia="仿宋"/>
          <w:color w:val="auto"/>
          <w:sz w:val="24"/>
          <w:szCs w:val="28"/>
          <w:highlight w:val="none"/>
          <w:u w:val="none"/>
        </w:rPr>
        <w:t xml:space="preserve"> </w:t>
      </w:r>
      <w:r>
        <w:rPr>
          <w:rFonts w:hint="eastAsia" w:ascii="仿宋" w:hAnsi="仿宋" w:eastAsia="仿宋"/>
          <w:sz w:val="24"/>
          <w:szCs w:val="28"/>
          <w:u w:val="none"/>
          <w:lang w:val="en-US" w:eastAsia="zh-CN"/>
        </w:rPr>
        <w:t>1</w:t>
      </w:r>
      <w:r>
        <w:rPr>
          <w:rFonts w:hint="eastAsia" w:ascii="仿宋" w:hAnsi="仿宋" w:eastAsia="仿宋"/>
          <w:color w:val="auto"/>
          <w:sz w:val="24"/>
          <w:szCs w:val="28"/>
          <w:highlight w:val="none"/>
          <w:u w:val="none"/>
        </w:rPr>
        <w:t xml:space="preserve"> </w:t>
      </w:r>
      <w:r>
        <w:rPr>
          <w:rFonts w:hint="eastAsia" w:ascii="仿宋" w:hAnsi="仿宋" w:eastAsia="仿宋"/>
          <w:color w:val="auto"/>
          <w:sz w:val="24"/>
          <w:szCs w:val="28"/>
          <w:highlight w:val="none"/>
        </w:rPr>
        <w:t>份。</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五、我方承诺：本次投标的投标有效期为90天。</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六、我方投标报价为闭口价。即在投标有效期和合同有效期内，该报价固定不变。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七、如果我方中标，我方将履行招标文件中规定的各项要求以及我方投标文件的各项承诺，按《政府采购法》、《合同法》及合同约定条款承担我方责任。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八、我方未</w:t>
      </w:r>
      <w:r>
        <w:rPr>
          <w:rFonts w:ascii="仿宋" w:hAnsi="仿宋" w:eastAsia="仿宋"/>
          <w:color w:val="auto"/>
          <w:sz w:val="24"/>
          <w:szCs w:val="24"/>
          <w:highlight w:val="none"/>
        </w:rPr>
        <w:t>为采购项目提供整体设计、规范编制或者项目管理、监理、检测等服务</w:t>
      </w:r>
      <w:r>
        <w:rPr>
          <w:rFonts w:hint="eastAsia" w:ascii="仿宋" w:hAnsi="仿宋" w:eastAsia="仿宋"/>
          <w:color w:val="auto"/>
          <w:sz w:val="24"/>
          <w:szCs w:val="24"/>
          <w:highlight w:val="none"/>
        </w:rPr>
        <w:t>。</w:t>
      </w:r>
    </w:p>
    <w:p>
      <w:pPr>
        <w:tabs>
          <w:tab w:val="left" w:pos="6300"/>
        </w:tabs>
        <w:snapToGrid w:val="0"/>
        <w:spacing w:line="500" w:lineRule="exact"/>
        <w:ind w:firstLine="480" w:firstLineChars="20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九、我方理解，最低报价不是中标的唯一条件。</w:t>
      </w:r>
    </w:p>
    <w:p>
      <w:pPr>
        <w:tabs>
          <w:tab w:val="left" w:pos="6300"/>
        </w:tabs>
        <w:snapToGrid w:val="0"/>
        <w:spacing w:line="500" w:lineRule="exact"/>
        <w:ind w:firstLine="570"/>
        <w:rPr>
          <w:rFonts w:hint="eastAsia" w:ascii="仿宋" w:hAnsi="仿宋" w:eastAsia="仿宋"/>
          <w:color w:val="auto"/>
          <w:sz w:val="24"/>
          <w:szCs w:val="28"/>
          <w:highlight w:val="none"/>
        </w:rPr>
      </w:pPr>
    </w:p>
    <w:p>
      <w:pPr>
        <w:tabs>
          <w:tab w:val="left" w:pos="6300"/>
        </w:tabs>
        <w:snapToGrid w:val="0"/>
        <w:spacing w:line="500" w:lineRule="exact"/>
        <w:ind w:firstLine="5460" w:firstLineChars="2275"/>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（投标人公章）</w:t>
      </w:r>
    </w:p>
    <w:p>
      <w:pPr>
        <w:tabs>
          <w:tab w:val="left" w:pos="6300"/>
        </w:tabs>
        <w:snapToGrid w:val="0"/>
        <w:spacing w:line="500" w:lineRule="exact"/>
        <w:ind w:firstLine="570"/>
        <w:rPr>
          <w:rFonts w:hint="eastAsia" w:ascii="仿宋" w:hAnsi="仿宋" w:eastAsia="仿宋"/>
          <w:color w:val="auto"/>
          <w:sz w:val="24"/>
          <w:szCs w:val="28"/>
          <w:highlight w:val="none"/>
        </w:rPr>
      </w:pPr>
    </w:p>
    <w:p>
      <w:pPr>
        <w:tabs>
          <w:tab w:val="left" w:pos="6300"/>
        </w:tabs>
        <w:snapToGrid w:val="0"/>
        <w:spacing w:line="500" w:lineRule="exact"/>
        <w:ind w:firstLine="5760" w:firstLineChars="2400"/>
        <w:rPr>
          <w:rFonts w:hint="eastAsia" w:ascii="仿宋" w:hAnsi="仿宋" w:eastAsia="仿宋"/>
          <w:color w:val="auto"/>
          <w:szCs w:val="28"/>
          <w:highlight w:val="none"/>
        </w:rPr>
      </w:pPr>
      <w:r>
        <w:rPr>
          <w:rFonts w:hint="eastAsia" w:ascii="仿宋" w:hAnsi="仿宋" w:eastAsia="仿宋"/>
          <w:color w:val="auto"/>
          <w:sz w:val="24"/>
          <w:szCs w:val="28"/>
          <w:highlight w:val="none"/>
        </w:rPr>
        <w:t>年    月   日</w:t>
      </w:r>
    </w:p>
    <w:p>
      <w:pPr>
        <w:tabs>
          <w:tab w:val="left" w:pos="6300"/>
        </w:tabs>
        <w:snapToGrid w:val="0"/>
        <w:spacing w:line="500" w:lineRule="exact"/>
        <w:ind w:firstLine="560" w:firstLineChars="200"/>
        <w:outlineLvl w:val="0"/>
        <w:rPr>
          <w:rFonts w:hint="eastAsia" w:ascii="仿宋" w:hAnsi="仿宋" w:eastAsia="仿宋"/>
          <w:color w:val="auto"/>
          <w:highlight w:val="none"/>
        </w:rPr>
      </w:pPr>
      <w:r>
        <w:rPr>
          <w:rFonts w:ascii="仿宋" w:hAnsi="仿宋" w:eastAsia="仿宋"/>
          <w:color w:val="auto"/>
          <w:szCs w:val="44"/>
          <w:highlight w:val="none"/>
        </w:rPr>
        <w:br w:type="page"/>
      </w:r>
      <w:r>
        <w:rPr>
          <w:rFonts w:hint="eastAsia" w:ascii="仿宋" w:hAnsi="仿宋" w:eastAsia="仿宋"/>
          <w:color w:val="auto"/>
          <w:highlight w:val="none"/>
        </w:rPr>
        <w:t>（二）商务条款差异表</w:t>
      </w:r>
    </w:p>
    <w:p>
      <w:pPr>
        <w:pStyle w:val="32"/>
        <w:tabs>
          <w:tab w:val="left" w:pos="6300"/>
        </w:tabs>
        <w:snapToGrid w:val="0"/>
        <w:spacing w:line="500" w:lineRule="exact"/>
        <w:ind w:firstLine="480" w:firstLineChars="200"/>
        <w:outlineLvl w:val="0"/>
        <w:rPr>
          <w:rFonts w:hint="eastAsia" w:ascii="仿宋" w:hAnsi="仿宋" w:eastAsia="仿宋"/>
          <w:color w:val="auto"/>
          <w:sz w:val="24"/>
          <w:highlight w:val="none"/>
        </w:rPr>
      </w:pPr>
      <w:r>
        <w:rPr>
          <w:rFonts w:hint="eastAsia" w:ascii="仿宋" w:hAnsi="仿宋" w:eastAsia="仿宋"/>
          <w:color w:val="auto"/>
          <w:sz w:val="24"/>
          <w:szCs w:val="28"/>
          <w:highlight w:val="none"/>
        </w:rPr>
        <w:t>招标项目名称</w:t>
      </w:r>
      <w:r>
        <w:rPr>
          <w:rFonts w:hint="eastAsia" w:ascii="仿宋" w:hAnsi="仿宋" w:eastAsia="仿宋"/>
          <w:color w:val="auto"/>
          <w:sz w:val="24"/>
          <w:highlight w:val="none"/>
        </w:rPr>
        <w:t>：</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序号</w:t>
            </w: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招标商务要求</w:t>
            </w: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投标商务应答</w:t>
            </w: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42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2520"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c>
          <w:tcPr>
            <w:tcW w:w="1888" w:type="dxa"/>
            <w:vAlign w:val="center"/>
          </w:tcPr>
          <w:p>
            <w:pPr>
              <w:tabs>
                <w:tab w:val="left" w:pos="6300"/>
              </w:tabs>
              <w:snapToGrid w:val="0"/>
              <w:spacing w:line="500" w:lineRule="exact"/>
              <w:jc w:val="center"/>
              <w:outlineLvl w:val="0"/>
              <w:rPr>
                <w:rFonts w:hint="eastAsia" w:ascii="仿宋" w:hAnsi="仿宋" w:eastAsia="仿宋"/>
                <w:color w:val="auto"/>
                <w:sz w:val="21"/>
                <w:szCs w:val="21"/>
                <w:highlight w:val="none"/>
              </w:rPr>
            </w:pPr>
          </w:p>
        </w:tc>
      </w:tr>
    </w:tbl>
    <w:p>
      <w:pPr>
        <w:spacing w:line="500" w:lineRule="exact"/>
        <w:ind w:firstLine="600" w:firstLineChars="25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投标人：                            法定代表人或法定代表人授权代表：</w:t>
      </w:r>
    </w:p>
    <w:p>
      <w:pPr>
        <w:spacing w:line="500" w:lineRule="exact"/>
        <w:rPr>
          <w:rFonts w:hint="eastAsia" w:ascii="仿宋" w:hAnsi="仿宋" w:eastAsia="仿宋"/>
          <w:color w:val="auto"/>
          <w:sz w:val="24"/>
          <w:szCs w:val="28"/>
          <w:highlight w:val="none"/>
        </w:rPr>
      </w:pPr>
    </w:p>
    <w:p>
      <w:pPr>
        <w:spacing w:line="500" w:lineRule="exact"/>
        <w:rPr>
          <w:rFonts w:hint="eastAsia" w:ascii="仿宋" w:hAnsi="仿宋" w:eastAsia="仿宋"/>
          <w:color w:val="auto"/>
          <w:sz w:val="24"/>
          <w:szCs w:val="28"/>
          <w:highlight w:val="none"/>
        </w:rPr>
      </w:pPr>
      <w:r>
        <w:rPr>
          <w:rFonts w:hint="eastAsia" w:ascii="仿宋" w:hAnsi="仿宋" w:eastAsia="仿宋"/>
          <w:color w:val="auto"/>
          <w:sz w:val="24"/>
          <w:szCs w:val="28"/>
          <w:highlight w:val="none"/>
        </w:rPr>
        <w:t xml:space="preserve">    （投标人公章）                               （签字或盖章）</w:t>
      </w: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szCs w:val="28"/>
          <w:highlight w:val="none"/>
        </w:rPr>
        <w:t xml:space="preserve">                                            年     月     日</w:t>
      </w: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注：</w:t>
      </w:r>
    </w:p>
    <w:p>
      <w:pPr>
        <w:tabs>
          <w:tab w:val="left" w:pos="6300"/>
        </w:tabs>
        <w:snapToGrid w:val="0"/>
        <w:spacing w:line="500" w:lineRule="exact"/>
        <w:ind w:firstLine="57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1.本表即为对本项目“第三篇 项目商务要求”中所列商务条款进行比较和响应；</w:t>
      </w:r>
    </w:p>
    <w:p>
      <w:pPr>
        <w:tabs>
          <w:tab w:val="left" w:pos="6300"/>
        </w:tabs>
        <w:snapToGrid w:val="0"/>
        <w:spacing w:line="500" w:lineRule="exact"/>
        <w:ind w:firstLine="57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color w:val="auto"/>
          <w:sz w:val="24"/>
          <w:szCs w:val="24"/>
          <w:highlight w:val="none"/>
        </w:rPr>
      </w:pPr>
      <w:r>
        <w:rPr>
          <w:rFonts w:hint="eastAsia" w:ascii="仿宋" w:hAnsi="仿宋" w:eastAsia="仿宋"/>
          <w:color w:val="auto"/>
          <w:sz w:val="24"/>
          <w:szCs w:val="24"/>
          <w:highlight w:val="none"/>
        </w:rPr>
        <w:t>3.该表可扩展。</w:t>
      </w:r>
    </w:p>
    <w:p>
      <w:pPr>
        <w:tabs>
          <w:tab w:val="left" w:pos="6300"/>
        </w:tabs>
        <w:snapToGrid w:val="0"/>
        <w:spacing w:line="500" w:lineRule="exact"/>
        <w:ind w:firstLine="560" w:firstLineChars="200"/>
        <w:outlineLvl w:val="0"/>
        <w:rPr>
          <w:rFonts w:hint="eastAsia" w:ascii="仿宋" w:hAnsi="仿宋" w:eastAsia="仿宋"/>
          <w:color w:val="auto"/>
          <w:sz w:val="24"/>
          <w:highlight w:val="none"/>
        </w:rPr>
      </w:pPr>
      <w:r>
        <w:rPr>
          <w:rFonts w:ascii="仿宋" w:hAnsi="仿宋" w:eastAsia="仿宋"/>
          <w:color w:val="auto"/>
          <w:szCs w:val="28"/>
          <w:highlight w:val="none"/>
        </w:rPr>
        <w:br w:type="page"/>
      </w:r>
      <w:r>
        <w:rPr>
          <w:rFonts w:hint="eastAsia" w:ascii="仿宋" w:hAnsi="仿宋" w:eastAsia="仿宋"/>
          <w:color w:val="auto"/>
          <w:highlight w:val="none"/>
        </w:rPr>
        <w:t>（三）</w:t>
      </w:r>
      <w:r>
        <w:rPr>
          <w:rFonts w:hint="eastAsia" w:ascii="仿宋" w:hAnsi="仿宋" w:eastAsia="仿宋" w:cs="Times New Roman"/>
          <w:kern w:val="2"/>
          <w:sz w:val="28"/>
          <w:lang w:val="en-US" w:eastAsia="zh-CN" w:bidi="ar-SA"/>
        </w:rPr>
        <w:t>商务及售后服务承诺</w:t>
      </w:r>
      <w:r>
        <w:rPr>
          <w:rFonts w:hint="eastAsia" w:ascii="仿宋" w:hAnsi="仿宋" w:eastAsia="仿宋"/>
          <w:color w:val="auto"/>
          <w:highlight w:val="none"/>
        </w:rPr>
        <w:t>：</w:t>
      </w:r>
      <w:r>
        <w:rPr>
          <w:rFonts w:hint="eastAsia" w:ascii="仿宋" w:hAnsi="仿宋" w:eastAsia="仿宋"/>
          <w:color w:val="auto"/>
          <w:sz w:val="24"/>
          <w:highlight w:val="none"/>
        </w:rPr>
        <w:t xml:space="preserve"> </w:t>
      </w:r>
    </w:p>
    <w:p>
      <w:pPr>
        <w:pStyle w:val="4"/>
        <w:pageBreakBefore/>
        <w:spacing w:line="500" w:lineRule="exact"/>
        <w:rPr>
          <w:rFonts w:hint="eastAsia" w:ascii="仿宋" w:hAnsi="仿宋" w:eastAsia="仿宋"/>
          <w:b/>
          <w:color w:val="auto"/>
          <w:szCs w:val="28"/>
          <w:highlight w:val="none"/>
        </w:rPr>
      </w:pPr>
      <w:bookmarkStart w:id="50" w:name="_Toc429584888"/>
      <w:bookmarkStart w:id="51" w:name="_Toc22897"/>
      <w:bookmarkStart w:id="52" w:name="_Toc492721041"/>
      <w:r>
        <w:rPr>
          <w:rFonts w:hint="eastAsia" w:ascii="仿宋" w:hAnsi="仿宋" w:eastAsia="仿宋"/>
          <w:b/>
          <w:color w:val="auto"/>
          <w:szCs w:val="28"/>
          <w:highlight w:val="none"/>
        </w:rPr>
        <w:t>四、其他</w:t>
      </w:r>
      <w:bookmarkEnd w:id="50"/>
      <w:bookmarkEnd w:id="51"/>
      <w:bookmarkEnd w:id="52"/>
    </w:p>
    <w:p>
      <w:pPr>
        <w:tabs>
          <w:tab w:val="left" w:pos="6300"/>
        </w:tabs>
        <w:snapToGrid w:val="0"/>
        <w:spacing w:line="500" w:lineRule="exact"/>
        <w:jc w:val="left"/>
        <w:rPr>
          <w:rFonts w:hint="eastAsia" w:ascii="仿宋" w:hAnsi="仿宋" w:eastAsia="仿宋"/>
          <w:color w:val="auto"/>
          <w:highlight w:val="none"/>
        </w:rPr>
      </w:pPr>
      <w:r>
        <w:rPr>
          <w:rFonts w:hint="eastAsia" w:ascii="仿宋" w:hAnsi="仿宋" w:eastAsia="仿宋"/>
          <w:color w:val="auto"/>
          <w:highlight w:val="none"/>
        </w:rPr>
        <w:t>其他与项目有关的资料（自附）</w:t>
      </w:r>
    </w:p>
    <w:p>
      <w:pPr>
        <w:pStyle w:val="4"/>
        <w:pageBreakBefore/>
        <w:spacing w:line="500" w:lineRule="exact"/>
        <w:rPr>
          <w:rFonts w:hint="eastAsia" w:ascii="仿宋" w:hAnsi="仿宋" w:eastAsia="仿宋"/>
          <w:b/>
          <w:color w:val="auto"/>
          <w:szCs w:val="28"/>
          <w:highlight w:val="none"/>
        </w:rPr>
      </w:pPr>
      <w:bookmarkStart w:id="53" w:name="_Toc429584885"/>
      <w:bookmarkStart w:id="54" w:name="_Toc492721038"/>
      <w:bookmarkStart w:id="55" w:name="_Toc22948"/>
      <w:r>
        <w:rPr>
          <w:rFonts w:hint="eastAsia" w:ascii="仿宋" w:hAnsi="仿宋" w:eastAsia="仿宋"/>
          <w:b/>
          <w:color w:val="auto"/>
          <w:szCs w:val="28"/>
          <w:highlight w:val="none"/>
        </w:rPr>
        <w:t>五、资格文件</w:t>
      </w:r>
      <w:bookmarkEnd w:id="53"/>
      <w:bookmarkEnd w:id="54"/>
      <w:bookmarkEnd w:id="55"/>
    </w:p>
    <w:p>
      <w:pPr>
        <w:tabs>
          <w:tab w:val="left" w:pos="6300"/>
        </w:tabs>
        <w:snapToGrid w:val="0"/>
        <w:spacing w:line="500" w:lineRule="exact"/>
        <w:ind w:firstLine="570"/>
        <w:rPr>
          <w:rFonts w:hint="eastAsia" w:ascii="仿宋" w:hAnsi="仿宋" w:eastAsia="仿宋"/>
          <w:color w:val="auto"/>
          <w:highlight w:val="none"/>
        </w:rPr>
      </w:pPr>
      <w:r>
        <w:rPr>
          <w:rFonts w:hint="eastAsia" w:ascii="仿宋" w:hAnsi="仿宋" w:eastAsia="仿宋"/>
          <w:color w:val="auto"/>
          <w:highlight w:val="none"/>
        </w:rPr>
        <w:t>（一）营业执照（副本）</w:t>
      </w:r>
      <w:r>
        <w:rPr>
          <w:rFonts w:hint="eastAsia" w:ascii="仿宋" w:hAnsi="仿宋" w:eastAsia="仿宋"/>
          <w:color w:val="auto"/>
          <w:szCs w:val="28"/>
          <w:highlight w:val="none"/>
        </w:rPr>
        <w:t>或事业单位法人证书（副本）</w:t>
      </w:r>
      <w:r>
        <w:rPr>
          <w:rFonts w:hint="eastAsia" w:ascii="仿宋" w:hAnsi="仿宋" w:eastAsia="仿宋"/>
          <w:color w:val="auto"/>
          <w:highlight w:val="none"/>
        </w:rPr>
        <w:t>复印件</w:t>
      </w:r>
    </w:p>
    <w:p>
      <w:pPr>
        <w:tabs>
          <w:tab w:val="left" w:pos="6300"/>
        </w:tabs>
        <w:snapToGrid w:val="0"/>
        <w:spacing w:line="500" w:lineRule="exact"/>
        <w:ind w:firstLine="570"/>
        <w:rPr>
          <w:rFonts w:hint="eastAsia" w:ascii="仿宋" w:hAnsi="仿宋" w:eastAsia="仿宋"/>
          <w:color w:val="auto"/>
          <w:highlight w:val="none"/>
        </w:rPr>
      </w:pPr>
      <w:r>
        <w:rPr>
          <w:rFonts w:hint="eastAsia" w:ascii="仿宋" w:hAnsi="仿宋" w:eastAsia="仿宋"/>
          <w:color w:val="auto"/>
          <w:highlight w:val="none"/>
        </w:rPr>
        <w:t>（二）组织机构代码证复印件</w:t>
      </w:r>
    </w:p>
    <w:p>
      <w:pPr>
        <w:tabs>
          <w:tab w:val="left" w:pos="6300"/>
        </w:tabs>
        <w:snapToGrid w:val="0"/>
        <w:spacing w:line="500" w:lineRule="exact"/>
        <w:ind w:firstLine="570"/>
        <w:rPr>
          <w:rFonts w:hint="eastAsia" w:ascii="仿宋" w:hAnsi="仿宋" w:eastAsia="仿宋"/>
          <w:color w:val="auto"/>
          <w:highlight w:val="none"/>
        </w:rPr>
      </w:pPr>
    </w:p>
    <w:p>
      <w:pPr>
        <w:tabs>
          <w:tab w:val="left" w:pos="6300"/>
        </w:tabs>
        <w:snapToGrid w:val="0"/>
        <w:spacing w:line="500" w:lineRule="exact"/>
        <w:ind w:firstLine="570"/>
        <w:rPr>
          <w:rFonts w:hint="eastAsia" w:ascii="仿宋" w:hAnsi="仿宋" w:eastAsia="仿宋"/>
          <w:color w:val="auto"/>
          <w:highlight w:val="none"/>
        </w:rPr>
      </w:pPr>
    </w:p>
    <w:p>
      <w:pPr>
        <w:tabs>
          <w:tab w:val="left" w:pos="6300"/>
        </w:tabs>
        <w:snapToGrid w:val="0"/>
        <w:spacing w:line="500" w:lineRule="exact"/>
        <w:ind w:firstLine="570"/>
        <w:rPr>
          <w:rFonts w:hint="eastAsia" w:ascii="仿宋" w:hAnsi="仿宋" w:eastAsia="仿宋"/>
          <w:color w:val="auto"/>
          <w:highlight w:val="none"/>
        </w:rPr>
      </w:pPr>
    </w:p>
    <w:p>
      <w:pPr>
        <w:tabs>
          <w:tab w:val="left" w:pos="6300"/>
        </w:tabs>
        <w:snapToGrid w:val="0"/>
        <w:spacing w:line="500" w:lineRule="exact"/>
        <w:ind w:firstLine="570"/>
        <w:rPr>
          <w:rFonts w:hint="eastAsia" w:ascii="仿宋" w:hAnsi="仿宋" w:eastAsia="仿宋"/>
          <w:color w:val="auto"/>
          <w:highlight w:val="none"/>
        </w:rPr>
      </w:pPr>
    </w:p>
    <w:p>
      <w:pPr>
        <w:widowControl/>
        <w:ind w:firstLine="560" w:firstLineChars="200"/>
        <w:jc w:val="left"/>
        <w:rPr>
          <w:rFonts w:hint="eastAsia" w:ascii="仿宋" w:hAnsi="仿宋" w:eastAsia="仿宋"/>
          <w:color w:val="auto"/>
          <w:highlight w:val="none"/>
        </w:rPr>
      </w:pPr>
      <w:r>
        <w:rPr>
          <w:rFonts w:ascii="仿宋" w:hAnsi="仿宋" w:eastAsia="仿宋"/>
          <w:color w:val="auto"/>
          <w:highlight w:val="none"/>
        </w:rPr>
        <w:br w:type="page"/>
      </w:r>
      <w:r>
        <w:rPr>
          <w:rFonts w:hint="eastAsia" w:ascii="仿宋" w:hAnsi="仿宋" w:eastAsia="仿宋"/>
          <w:color w:val="auto"/>
          <w:highlight w:val="none"/>
        </w:rPr>
        <w:t>（三）法定代表人身份证明书（格式）</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招标项目名称：</w:t>
      </w:r>
      <w:r>
        <w:rPr>
          <w:rFonts w:hint="eastAsia" w:ascii="仿宋" w:hAnsi="仿宋" w:eastAsia="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（采购代理机构名称）：</w:t>
      </w: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（法定代表人姓名）在</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（投标人名称）任</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（职务名称）职务，是（投标人名称）</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的法定代表人。</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特此证明。</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 xml:space="preserve">                                             （投标人公章）</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 xml:space="preserve">                                             年   月   日</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（附：法定代表人身份证正反面复印件）</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highlight w:val="none"/>
        </w:rPr>
      </w:pPr>
      <w:r>
        <w:rPr>
          <w:rFonts w:ascii="仿宋" w:hAnsi="仿宋" w:eastAsia="仿宋"/>
          <w:color w:val="auto"/>
          <w:highlight w:val="none"/>
        </w:rPr>
        <w:br w:type="column"/>
      </w:r>
      <w:r>
        <w:rPr>
          <w:rFonts w:hint="eastAsia" w:ascii="仿宋" w:hAnsi="仿宋" w:eastAsia="仿宋"/>
          <w:color w:val="auto"/>
          <w:highlight w:val="none"/>
        </w:rPr>
        <w:t>（四）法定代表人授权委托书（格式）</w:t>
      </w: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 xml:space="preserve">    </w:t>
      </w: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szCs w:val="28"/>
          <w:highlight w:val="none"/>
        </w:rPr>
        <w:t>招标项目名称</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（采购代理机构名称）：</w:t>
      </w: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（投标人法定代表人名称）是</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（投标人名称）的法定代表人，特授权</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我单位对被授权人的签字负全部责任。</w:t>
      </w: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被授权人：                                 投标人法定代表人：</w:t>
      </w:r>
    </w:p>
    <w:p>
      <w:pPr>
        <w:tabs>
          <w:tab w:val="left" w:pos="6300"/>
        </w:tabs>
        <w:snapToGrid w:val="0"/>
        <w:spacing w:line="500" w:lineRule="exact"/>
        <w:ind w:firstLine="570"/>
        <w:rPr>
          <w:rFonts w:hint="eastAsia" w:ascii="仿宋" w:hAnsi="仿宋" w:eastAsia="仿宋"/>
          <w:color w:val="auto"/>
          <w:sz w:val="24"/>
          <w:szCs w:val="28"/>
          <w:highlight w:val="none"/>
        </w:rPr>
      </w:pPr>
      <w:r>
        <w:rPr>
          <w:rFonts w:hint="eastAsia" w:ascii="仿宋" w:hAnsi="仿宋" w:eastAsia="仿宋"/>
          <w:color w:val="auto"/>
          <w:sz w:val="24"/>
          <w:szCs w:val="28"/>
          <w:highlight w:val="none"/>
        </w:rPr>
        <w:t>（签字或盖章）                                （签字或盖章）</w:t>
      </w:r>
    </w:p>
    <w:p>
      <w:pPr>
        <w:tabs>
          <w:tab w:val="left" w:pos="6300"/>
        </w:tabs>
        <w:snapToGrid w:val="0"/>
        <w:spacing w:line="500" w:lineRule="exact"/>
        <w:ind w:firstLine="570"/>
        <w:rPr>
          <w:rFonts w:hint="eastAsia" w:ascii="仿宋" w:hAnsi="仿宋" w:eastAsia="仿宋"/>
          <w:color w:val="auto"/>
          <w:sz w:val="24"/>
          <w:szCs w:val="28"/>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（附：被授权人身份证正反面复印件）</w:t>
      </w:r>
    </w:p>
    <w:p>
      <w:pPr>
        <w:tabs>
          <w:tab w:val="left" w:pos="6300"/>
        </w:tabs>
        <w:snapToGrid w:val="0"/>
        <w:spacing w:line="500" w:lineRule="exact"/>
        <w:ind w:firstLine="570"/>
        <w:rPr>
          <w:rFonts w:hint="eastAsia" w:ascii="仿宋" w:hAnsi="仿宋" w:eastAsia="仿宋"/>
          <w:color w:val="auto"/>
          <w:sz w:val="24"/>
          <w:highlight w:val="none"/>
        </w:rPr>
      </w:pPr>
      <w:r>
        <w:rPr>
          <w:rFonts w:hint="eastAsia" w:ascii="仿宋" w:hAnsi="仿宋" w:eastAsia="仿宋"/>
          <w:color w:val="auto"/>
          <w:sz w:val="24"/>
          <w:highlight w:val="none"/>
        </w:rPr>
        <w:t xml:space="preserve">                                          </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right="480" w:firstLine="570"/>
        <w:jc w:val="right"/>
        <w:rPr>
          <w:rFonts w:hint="eastAsia" w:ascii="仿宋" w:hAnsi="仿宋" w:eastAsia="仿宋"/>
          <w:color w:val="auto"/>
          <w:sz w:val="24"/>
          <w:highlight w:val="none"/>
        </w:rPr>
      </w:pPr>
      <w:r>
        <w:rPr>
          <w:rFonts w:hint="eastAsia" w:ascii="仿宋" w:hAnsi="仿宋" w:eastAsia="仿宋"/>
          <w:color w:val="auto"/>
          <w:sz w:val="24"/>
          <w:highlight w:val="none"/>
        </w:rPr>
        <w:t>（投标人公章）</w:t>
      </w:r>
    </w:p>
    <w:p>
      <w:pPr>
        <w:tabs>
          <w:tab w:val="left" w:pos="6300"/>
        </w:tabs>
        <w:snapToGrid w:val="0"/>
        <w:spacing w:line="500" w:lineRule="exact"/>
        <w:ind w:right="480" w:firstLine="570"/>
        <w:jc w:val="right"/>
        <w:rPr>
          <w:rFonts w:hint="eastAsia" w:ascii="仿宋" w:hAnsi="仿宋" w:eastAsia="仿宋"/>
          <w:color w:val="auto"/>
          <w:sz w:val="24"/>
          <w:highlight w:val="none"/>
        </w:rPr>
      </w:pPr>
      <w:r>
        <w:rPr>
          <w:rFonts w:hint="eastAsia" w:ascii="仿宋" w:hAnsi="仿宋" w:eastAsia="仿宋"/>
          <w:color w:val="auto"/>
          <w:sz w:val="24"/>
          <w:highlight w:val="none"/>
        </w:rPr>
        <w:t>年   月   日</w:t>
      </w:r>
    </w:p>
    <w:p>
      <w:pPr>
        <w:tabs>
          <w:tab w:val="left" w:pos="6300"/>
        </w:tabs>
        <w:snapToGrid w:val="0"/>
        <w:spacing w:line="500" w:lineRule="exact"/>
        <w:ind w:right="480" w:firstLine="570"/>
        <w:jc w:val="right"/>
        <w:rPr>
          <w:rFonts w:hint="eastAsia" w:ascii="仿宋" w:hAnsi="仿宋" w:eastAsia="仿宋"/>
          <w:color w:val="auto"/>
          <w:sz w:val="24"/>
          <w:highlight w:val="none"/>
        </w:rPr>
      </w:pPr>
    </w:p>
    <w:p>
      <w:pPr>
        <w:tabs>
          <w:tab w:val="left" w:pos="6300"/>
        </w:tabs>
        <w:snapToGrid w:val="0"/>
        <w:spacing w:line="500" w:lineRule="exact"/>
        <w:ind w:right="480" w:firstLine="570"/>
        <w:jc w:val="left"/>
        <w:rPr>
          <w:rFonts w:hint="eastAsia" w:ascii="仿宋" w:hAnsi="仿宋" w:eastAsia="仿宋"/>
          <w:color w:val="auto"/>
          <w:sz w:val="24"/>
          <w:highlight w:val="none"/>
        </w:rPr>
      </w:pPr>
      <w:r>
        <w:rPr>
          <w:rFonts w:hint="eastAsia" w:ascii="仿宋" w:hAnsi="仿宋" w:eastAsia="仿宋"/>
          <w:color w:val="auto"/>
          <w:sz w:val="24"/>
          <w:highlight w:val="none"/>
        </w:rPr>
        <w:t>注：</w:t>
      </w:r>
    </w:p>
    <w:p>
      <w:pPr>
        <w:tabs>
          <w:tab w:val="left" w:pos="6300"/>
        </w:tabs>
        <w:snapToGrid w:val="0"/>
        <w:spacing w:line="500" w:lineRule="exact"/>
        <w:ind w:right="480" w:firstLine="570"/>
        <w:jc w:val="left"/>
        <w:rPr>
          <w:rFonts w:hint="eastAsia" w:ascii="仿宋" w:hAnsi="仿宋" w:eastAsia="仿宋"/>
          <w:color w:val="auto"/>
          <w:sz w:val="24"/>
          <w:highlight w:val="none"/>
        </w:rPr>
      </w:pPr>
      <w:r>
        <w:rPr>
          <w:rFonts w:hint="eastAsia" w:ascii="仿宋" w:hAnsi="仿宋" w:eastAsia="仿宋"/>
          <w:color w:val="auto"/>
          <w:sz w:val="24"/>
          <w:highlight w:val="none"/>
        </w:rPr>
        <w:t>1.若为法定代表人办理并签署投标文件的，不提供此文件。</w:t>
      </w:r>
      <w:r>
        <w:rPr>
          <w:rFonts w:hint="eastAsia" w:ascii="仿宋" w:hAnsi="仿宋" w:eastAsia="仿宋"/>
          <w:sz w:val="24"/>
        </w:rPr>
        <w:t>法定代表人身份证明及授权委托书原件装入</w:t>
      </w:r>
      <w:r>
        <w:rPr>
          <w:rFonts w:hint="eastAsia" w:ascii="仿宋" w:hAnsi="仿宋" w:eastAsia="仿宋"/>
          <w:sz w:val="24"/>
          <w:lang w:val="en-US" w:eastAsia="zh-CN"/>
        </w:rPr>
        <w:t>投标文件</w:t>
      </w:r>
      <w:r>
        <w:rPr>
          <w:rFonts w:hint="eastAsia" w:ascii="仿宋" w:hAnsi="仿宋" w:eastAsia="仿宋"/>
          <w:sz w:val="24"/>
        </w:rPr>
        <w:t>一并递交。另外须准备一份在开标现场出具。</w:t>
      </w:r>
    </w:p>
    <w:p>
      <w:pPr>
        <w:tabs>
          <w:tab w:val="left" w:pos="6300"/>
        </w:tabs>
        <w:snapToGrid w:val="0"/>
        <w:spacing w:line="500" w:lineRule="exact"/>
        <w:ind w:right="480" w:firstLine="570"/>
        <w:jc w:val="left"/>
        <w:rPr>
          <w:rFonts w:hint="eastAsia" w:ascii="仿宋" w:hAnsi="仿宋" w:eastAsia="仿宋"/>
          <w:color w:val="auto"/>
          <w:sz w:val="24"/>
          <w:highlight w:val="none"/>
        </w:rPr>
      </w:pPr>
      <w:r>
        <w:rPr>
          <w:rFonts w:hint="eastAsia" w:ascii="仿宋" w:hAnsi="仿宋" w:eastAsia="仿宋"/>
          <w:color w:val="auto"/>
          <w:sz w:val="24"/>
          <w:highlight w:val="none"/>
        </w:rPr>
        <w:t>2.若为联合体投标的，法定代表人授权委托书由联合体主办方</w:t>
      </w:r>
      <w:r>
        <w:rPr>
          <w:rFonts w:hint="eastAsia" w:ascii="仿宋" w:hAnsi="仿宋" w:eastAsia="仿宋" w:cs="宋体"/>
          <w:color w:val="auto"/>
          <w:kern w:val="0"/>
          <w:sz w:val="24"/>
          <w:szCs w:val="24"/>
          <w:highlight w:val="none"/>
        </w:rPr>
        <w:t>（主体）</w:t>
      </w:r>
      <w:r>
        <w:rPr>
          <w:rFonts w:hint="eastAsia" w:ascii="仿宋" w:hAnsi="仿宋" w:eastAsia="仿宋"/>
          <w:color w:val="auto"/>
          <w:sz w:val="24"/>
          <w:highlight w:val="none"/>
        </w:rPr>
        <w:t>出具。</w:t>
      </w:r>
    </w:p>
    <w:p>
      <w:pPr>
        <w:tabs>
          <w:tab w:val="left" w:pos="6300"/>
        </w:tabs>
        <w:snapToGrid w:val="0"/>
        <w:spacing w:line="500" w:lineRule="exact"/>
        <w:ind w:firstLine="570"/>
        <w:rPr>
          <w:rFonts w:hint="eastAsia" w:ascii="仿宋" w:hAnsi="仿宋" w:eastAsia="仿宋" w:cs="仿宋"/>
          <w:color w:val="auto"/>
          <w:sz w:val="28"/>
          <w:szCs w:val="28"/>
          <w:highlight w:val="none"/>
        </w:rPr>
      </w:pPr>
      <w:r>
        <w:rPr>
          <w:rFonts w:ascii="仿宋" w:hAnsi="仿宋" w:eastAsia="仿宋"/>
          <w:color w:val="auto"/>
          <w:highlight w:val="none"/>
        </w:rPr>
        <w:br w:type="column"/>
      </w:r>
      <w:r>
        <w:rPr>
          <w:rFonts w:hint="eastAsia" w:ascii="仿宋" w:hAnsi="仿宋" w:eastAsia="仿宋"/>
          <w:color w:val="auto"/>
          <w:highlight w:val="none"/>
        </w:rPr>
        <w:t>（五）</w:t>
      </w:r>
      <w:r>
        <w:rPr>
          <w:rFonts w:hint="eastAsia" w:ascii="仿宋" w:hAnsi="仿宋" w:eastAsia="仿宋" w:cs="仿宋"/>
          <w:color w:val="auto"/>
          <w:sz w:val="28"/>
          <w:szCs w:val="28"/>
          <w:highlight w:val="none"/>
          <w:lang w:val="en-US" w:eastAsia="zh-CN"/>
        </w:rPr>
        <w:t>2021年度</w:t>
      </w:r>
      <w:r>
        <w:rPr>
          <w:rFonts w:hint="eastAsia" w:ascii="仿宋" w:hAnsi="仿宋" w:eastAsia="仿宋" w:cs="仿宋"/>
          <w:color w:val="auto"/>
          <w:kern w:val="0"/>
          <w:sz w:val="28"/>
          <w:szCs w:val="28"/>
          <w:highlight w:val="none"/>
        </w:rPr>
        <w:t>经会计师事务所或审计机构出具的合法有效的财务审计报告</w:t>
      </w:r>
      <w:r>
        <w:rPr>
          <w:rFonts w:hint="eastAsia" w:ascii="仿宋" w:hAnsi="仿宋" w:eastAsia="仿宋" w:cs="仿宋"/>
          <w:color w:val="auto"/>
          <w:kern w:val="0"/>
          <w:sz w:val="28"/>
          <w:szCs w:val="28"/>
          <w:highlight w:val="none"/>
          <w:lang w:eastAsia="zh-CN"/>
        </w:rPr>
        <w:t>或</w:t>
      </w:r>
      <w:r>
        <w:rPr>
          <w:rFonts w:hint="eastAsia" w:ascii="仿宋" w:hAnsi="仿宋" w:eastAsia="仿宋" w:cs="仿宋"/>
          <w:color w:val="auto"/>
          <w:kern w:val="0"/>
          <w:sz w:val="28"/>
          <w:szCs w:val="28"/>
          <w:highlight w:val="none"/>
        </w:rPr>
        <w:t>财务报表</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财务报表须至少包括现金流量表、资产负债表、利润表</w:t>
      </w:r>
      <w:r>
        <w:rPr>
          <w:rFonts w:hint="eastAsia" w:ascii="仿宋" w:hAnsi="仿宋" w:eastAsia="仿宋" w:cs="仿宋"/>
          <w:color w:val="auto"/>
          <w:kern w:val="0"/>
          <w:sz w:val="28"/>
          <w:szCs w:val="28"/>
          <w:highlight w:val="none"/>
          <w:lang w:eastAsia="zh-CN"/>
        </w:rPr>
        <w:t>。提供公司财务报表的需提供承诺并对财务报表的真实性负责</w:t>
      </w:r>
      <w:r>
        <w:rPr>
          <w:rFonts w:hint="eastAsia" w:ascii="仿宋" w:hAnsi="仿宋" w:eastAsia="仿宋"/>
          <w:color w:val="auto"/>
          <w:highlight w:val="none"/>
        </w:rPr>
        <w:t>（格式）</w:t>
      </w:r>
    </w:p>
    <w:p>
      <w:pPr>
        <w:jc w:val="center"/>
        <w:outlineLvl w:val="0"/>
        <w:rPr>
          <w:rFonts w:hint="eastAsia" w:ascii="宋体" w:hAnsi="宋体" w:eastAsia="宋体" w:cs="宋体"/>
          <w:b/>
          <w:color w:val="auto"/>
          <w:sz w:val="32"/>
          <w:szCs w:val="32"/>
        </w:rPr>
      </w:pPr>
      <w:bookmarkStart w:id="56" w:name="_Toc27563"/>
      <w:bookmarkStart w:id="57" w:name="_Toc30979"/>
    </w:p>
    <w:p>
      <w:pPr>
        <w:jc w:val="center"/>
        <w:outlineLvl w:val="0"/>
        <w:rPr>
          <w:rFonts w:hint="eastAsia" w:ascii="宋体" w:hAnsi="宋体" w:eastAsia="宋体" w:cs="宋体"/>
          <w:b/>
          <w:color w:val="auto"/>
          <w:sz w:val="32"/>
          <w:szCs w:val="32"/>
        </w:rPr>
      </w:pPr>
    </w:p>
    <w:p>
      <w:pPr>
        <w:jc w:val="center"/>
        <w:outlineLvl w:val="0"/>
        <w:rPr>
          <w:rFonts w:hint="eastAsia" w:ascii="宋体" w:hAnsi="宋体" w:eastAsia="宋体" w:cs="宋体"/>
          <w:b/>
          <w:color w:val="auto"/>
          <w:sz w:val="32"/>
          <w:szCs w:val="32"/>
        </w:rPr>
      </w:pPr>
    </w:p>
    <w:p>
      <w:pPr>
        <w:jc w:val="center"/>
        <w:outlineLvl w:val="0"/>
        <w:rPr>
          <w:rFonts w:hint="eastAsia" w:ascii="宋体" w:hAnsi="宋体" w:eastAsia="宋体" w:cs="宋体"/>
          <w:b/>
          <w:color w:val="auto"/>
          <w:sz w:val="28"/>
          <w:szCs w:val="28"/>
        </w:rPr>
      </w:pPr>
      <w:r>
        <w:rPr>
          <w:rFonts w:hint="eastAsia" w:ascii="仿宋" w:hAnsi="仿宋" w:eastAsia="仿宋" w:cs="仿宋"/>
          <w:b/>
          <w:color w:val="auto"/>
          <w:sz w:val="28"/>
          <w:szCs w:val="28"/>
        </w:rPr>
        <w:t>财务状况承诺书</w:t>
      </w:r>
      <w:bookmarkEnd w:id="56"/>
      <w:bookmarkEnd w:id="57"/>
    </w:p>
    <w:p>
      <w:pPr>
        <w:rPr>
          <w:rFonts w:hint="eastAsia" w:ascii="宋体" w:hAnsi="宋体" w:eastAsia="宋体" w:cs="宋体"/>
          <w:color w:val="auto"/>
          <w:sz w:val="24"/>
        </w:rPr>
      </w:pPr>
    </w:p>
    <w:p>
      <w:pPr>
        <w:tabs>
          <w:tab w:val="left" w:pos="6300"/>
        </w:tabs>
        <w:snapToGrid w:val="0"/>
        <w:spacing w:line="5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招标项目名称：</w:t>
      </w:r>
      <w:r>
        <w:rPr>
          <w:rFonts w:hint="eastAsia" w:ascii="仿宋" w:hAnsi="仿宋" w:eastAsia="仿宋"/>
          <w:color w:val="auto"/>
          <w:sz w:val="24"/>
          <w:szCs w:val="24"/>
          <w:highlight w:val="none"/>
          <w:u w:val="single"/>
        </w:rPr>
        <w:t xml:space="preserve">                                                </w:t>
      </w:r>
    </w:p>
    <w:p>
      <w:pPr>
        <w:pStyle w:val="2"/>
        <w:rPr>
          <w:rFonts w:hint="eastAsia"/>
          <w:sz w:val="24"/>
          <w:szCs w:val="24"/>
        </w:rPr>
      </w:pPr>
    </w:p>
    <w:p>
      <w:pPr>
        <w:tabs>
          <w:tab w:val="left" w:pos="6300"/>
        </w:tabs>
        <w:snapToGrid w:val="0"/>
        <w:spacing w:line="5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致：</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（采购代理机构名称）：</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（投标人名称）</w:t>
      </w:r>
      <w:r>
        <w:rPr>
          <w:rFonts w:hint="eastAsia" w:ascii="仿宋" w:hAnsi="仿宋" w:eastAsia="仿宋" w:cs="仿宋"/>
          <w:color w:val="auto"/>
          <w:sz w:val="24"/>
          <w:szCs w:val="24"/>
        </w:rPr>
        <w:t>我方</w:t>
      </w:r>
      <w:r>
        <w:rPr>
          <w:rFonts w:hint="eastAsia" w:ascii="仿宋" w:hAnsi="仿宋" w:eastAsia="仿宋" w:cs="仿宋"/>
          <w:color w:val="auto"/>
          <w:sz w:val="24"/>
          <w:szCs w:val="24"/>
          <w:lang w:eastAsia="zh-CN"/>
        </w:rPr>
        <w:t>郑</w:t>
      </w:r>
      <w:r>
        <w:rPr>
          <w:rFonts w:hint="eastAsia" w:ascii="仿宋" w:hAnsi="仿宋" w:eastAsia="仿宋" w:cs="仿宋"/>
          <w:color w:val="auto"/>
          <w:sz w:val="24"/>
          <w:szCs w:val="24"/>
        </w:rPr>
        <w:t>重承诺： 我方</w:t>
      </w:r>
      <w:r>
        <w:rPr>
          <w:rFonts w:hint="eastAsia" w:ascii="仿宋" w:hAnsi="仿宋" w:eastAsia="仿宋" w:cs="仿宋"/>
          <w:color w:val="auto"/>
          <w:sz w:val="24"/>
          <w:szCs w:val="24"/>
          <w:highlight w:val="none"/>
          <w:lang w:val="en-US" w:eastAsia="zh-CN"/>
        </w:rPr>
        <w:t>2021年度</w:t>
      </w:r>
      <w:r>
        <w:rPr>
          <w:rFonts w:hint="eastAsia" w:ascii="仿宋" w:hAnsi="仿宋" w:eastAsia="仿宋" w:cs="仿宋"/>
          <w:color w:val="auto"/>
          <w:sz w:val="24"/>
          <w:szCs w:val="24"/>
        </w:rPr>
        <w:t>财务和经营状况良好，不存在亏损，具备履行能力，无不良经营行为；无因投标人违约或不恰当履约引起的争议纠纷及仲裁和诉讼记录。</w:t>
      </w:r>
    </w:p>
    <w:p>
      <w:pPr>
        <w:spacing w:line="520" w:lineRule="exact"/>
        <w:ind w:firstLine="480" w:firstLineChars="200"/>
        <w:rPr>
          <w:rFonts w:hint="eastAsia" w:ascii="仿宋" w:hAnsi="仿宋" w:eastAsia="仿宋" w:cs="仿宋"/>
          <w:color w:val="auto"/>
          <w:sz w:val="24"/>
          <w:szCs w:val="24"/>
        </w:rPr>
      </w:pP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附：1. 投标人需附</w:t>
      </w:r>
      <w:r>
        <w:rPr>
          <w:rFonts w:hint="eastAsia" w:ascii="仿宋" w:hAnsi="仿宋" w:eastAsia="仿宋" w:cs="仿宋"/>
          <w:color w:val="auto"/>
          <w:sz w:val="24"/>
          <w:szCs w:val="24"/>
          <w:highlight w:val="none"/>
          <w:lang w:val="en-US" w:eastAsia="zh-CN"/>
        </w:rPr>
        <w:t>2021年度</w:t>
      </w:r>
      <w:r>
        <w:rPr>
          <w:rFonts w:hint="eastAsia" w:ascii="仿宋" w:hAnsi="仿宋" w:eastAsia="仿宋" w:cs="仿宋"/>
          <w:color w:val="auto"/>
          <w:sz w:val="24"/>
          <w:szCs w:val="24"/>
        </w:rPr>
        <w:t>经审计的财务报告复印件或经投标人确认盖章的财务报表（成立不足</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rPr>
        <w:t>的自成立之日起），并对此向</w:t>
      </w:r>
      <w:r>
        <w:rPr>
          <w:rFonts w:hint="eastAsia" w:ascii="仿宋" w:hAnsi="仿宋" w:eastAsia="仿宋" w:cs="仿宋"/>
          <w:color w:val="auto"/>
          <w:sz w:val="24"/>
          <w:szCs w:val="24"/>
          <w:lang w:eastAsia="zh-CN"/>
        </w:rPr>
        <w:t>采购</w:t>
      </w:r>
      <w:r>
        <w:rPr>
          <w:rFonts w:hint="eastAsia" w:ascii="仿宋" w:hAnsi="仿宋" w:eastAsia="仿宋" w:cs="仿宋"/>
          <w:color w:val="auto"/>
          <w:sz w:val="24"/>
          <w:szCs w:val="24"/>
        </w:rPr>
        <w:t>人作出承诺。</w:t>
      </w:r>
    </w:p>
    <w:p>
      <w:pPr>
        <w:rPr>
          <w:rFonts w:hint="eastAsia" w:ascii="仿宋" w:hAnsi="仿宋" w:eastAsia="仿宋" w:cs="仿宋"/>
          <w:color w:val="auto"/>
          <w:sz w:val="24"/>
          <w:szCs w:val="24"/>
        </w:rPr>
      </w:pPr>
    </w:p>
    <w:p>
      <w:pPr>
        <w:pStyle w:val="2"/>
        <w:rPr>
          <w:rFonts w:hint="eastAsia"/>
          <w:sz w:val="24"/>
          <w:szCs w:val="24"/>
        </w:rPr>
      </w:pPr>
    </w:p>
    <w:p>
      <w:pPr>
        <w:rPr>
          <w:rFonts w:hint="eastAsia" w:ascii="仿宋" w:hAnsi="仿宋" w:eastAsia="仿宋" w:cs="仿宋"/>
          <w:color w:val="auto"/>
          <w:sz w:val="24"/>
          <w:szCs w:val="24"/>
        </w:rPr>
      </w:pPr>
    </w:p>
    <w:p>
      <w:pPr>
        <w:spacing w:line="32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投 标 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（盖单位公章）</w:t>
      </w:r>
    </w:p>
    <w:p>
      <w:pPr>
        <w:spacing w:line="440" w:lineRule="exact"/>
        <w:ind w:right="240"/>
        <w:jc w:val="both"/>
        <w:rPr>
          <w:rFonts w:hint="eastAsia" w:ascii="仿宋" w:hAnsi="仿宋" w:eastAsia="仿宋" w:cs="仿宋"/>
          <w:color w:val="auto"/>
          <w:sz w:val="24"/>
          <w:szCs w:val="24"/>
        </w:rPr>
      </w:pPr>
    </w:p>
    <w:p>
      <w:pPr>
        <w:spacing w:line="440" w:lineRule="exact"/>
        <w:ind w:right="240"/>
        <w:jc w:val="right"/>
        <w:rPr>
          <w:rFonts w:hint="eastAsia" w:ascii="仿宋" w:hAnsi="仿宋" w:eastAsia="仿宋" w:cs="仿宋"/>
          <w:color w:val="auto"/>
          <w:sz w:val="24"/>
          <w:szCs w:val="24"/>
        </w:rPr>
      </w:pPr>
      <w:r>
        <w:rPr>
          <w:rFonts w:hint="eastAsia" w:ascii="仿宋" w:hAnsi="仿宋" w:eastAsia="仿宋" w:cs="仿宋"/>
          <w:color w:val="auto"/>
          <w:sz w:val="24"/>
          <w:szCs w:val="24"/>
        </w:rPr>
        <w:t>法定代表人或其委托代理人：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（签字）</w:t>
      </w:r>
    </w:p>
    <w:p>
      <w:pPr>
        <w:spacing w:line="440" w:lineRule="exact"/>
        <w:ind w:right="240" w:firstLine="480" w:firstLineChars="200"/>
        <w:jc w:val="right"/>
        <w:rPr>
          <w:rFonts w:hint="eastAsia" w:ascii="仿宋" w:hAnsi="仿宋" w:eastAsia="仿宋" w:cs="仿宋"/>
          <w:color w:val="auto"/>
          <w:sz w:val="24"/>
          <w:szCs w:val="24"/>
        </w:rPr>
      </w:pPr>
    </w:p>
    <w:p>
      <w:pPr>
        <w:pStyle w:val="2"/>
        <w:jc w:val="right"/>
        <w:rPr>
          <w:rFonts w:hint="eastAsia" w:ascii="仿宋" w:hAnsi="仿宋" w:eastAsia="仿宋" w:cs="仿宋"/>
          <w:sz w:val="28"/>
          <w:szCs w:val="28"/>
        </w:rPr>
      </w:pPr>
      <w:r>
        <w:rPr>
          <w:rFonts w:hint="eastAsia" w:ascii="仿宋" w:hAnsi="仿宋" w:eastAsia="仿宋" w:cs="仿宋"/>
          <w:color w:val="auto"/>
          <w:w w:val="200"/>
          <w:kern w:val="0"/>
          <w:sz w:val="24"/>
          <w:szCs w:val="24"/>
          <w:lang w:val="en-US" w:eastAsia="zh-CN"/>
        </w:rPr>
        <w:t xml:space="preserve">            </w:t>
      </w:r>
      <w:r>
        <w:rPr>
          <w:rFonts w:hint="eastAsia" w:ascii="仿宋" w:hAnsi="仿宋" w:eastAsia="仿宋" w:cs="仿宋"/>
          <w:color w:val="auto"/>
          <w:w w:val="200"/>
          <w:kern w:val="0"/>
          <w:sz w:val="24"/>
          <w:szCs w:val="24"/>
        </w:rPr>
        <w:t xml:space="preserve"> </w:t>
      </w:r>
      <w:r>
        <w:rPr>
          <w:rFonts w:hint="eastAsia" w:ascii="仿宋" w:hAnsi="仿宋" w:eastAsia="仿宋" w:cs="仿宋"/>
          <w:color w:val="auto"/>
          <w:w w:val="200"/>
          <w:kern w:val="0"/>
          <w:sz w:val="24"/>
          <w:szCs w:val="24"/>
          <w:u w:val="single"/>
        </w:rPr>
        <w:t xml:space="preserve">  </w:t>
      </w:r>
      <w:r>
        <w:rPr>
          <w:rFonts w:hint="eastAsia" w:ascii="仿宋" w:hAnsi="仿宋" w:eastAsia="仿宋" w:cs="仿宋"/>
          <w:color w:val="auto"/>
          <w:kern w:val="0"/>
          <w:sz w:val="24"/>
          <w:szCs w:val="24"/>
        </w:rPr>
        <w:t>年</w:t>
      </w:r>
      <w:r>
        <w:rPr>
          <w:rFonts w:hint="eastAsia" w:ascii="仿宋" w:hAnsi="仿宋" w:eastAsia="仿宋" w:cs="仿宋"/>
          <w:color w:val="auto"/>
          <w:w w:val="200"/>
          <w:kern w:val="0"/>
          <w:sz w:val="24"/>
          <w:szCs w:val="24"/>
          <w:u w:val="single"/>
        </w:rPr>
        <w:t xml:space="preserve">  </w:t>
      </w:r>
      <w:r>
        <w:rPr>
          <w:rFonts w:hint="eastAsia" w:ascii="仿宋" w:hAnsi="仿宋" w:eastAsia="仿宋" w:cs="仿宋"/>
          <w:color w:val="auto"/>
          <w:kern w:val="0"/>
          <w:sz w:val="24"/>
          <w:szCs w:val="24"/>
        </w:rPr>
        <w:t>月</w:t>
      </w:r>
      <w:r>
        <w:rPr>
          <w:rFonts w:hint="eastAsia" w:ascii="仿宋" w:hAnsi="仿宋" w:eastAsia="仿宋" w:cs="仿宋"/>
          <w:color w:val="auto"/>
          <w:w w:val="200"/>
          <w:kern w:val="0"/>
          <w:sz w:val="24"/>
          <w:szCs w:val="24"/>
          <w:u w:val="single"/>
        </w:rPr>
        <w:t xml:space="preserve">  </w:t>
      </w:r>
      <w:r>
        <w:rPr>
          <w:rFonts w:hint="eastAsia" w:ascii="仿宋" w:hAnsi="仿宋" w:eastAsia="仿宋" w:cs="仿宋"/>
          <w:color w:val="auto"/>
          <w:kern w:val="0"/>
          <w:sz w:val="24"/>
          <w:szCs w:val="24"/>
        </w:rPr>
        <w:t>日</w:t>
      </w:r>
      <w:r>
        <w:rPr>
          <w:rFonts w:hint="eastAsia" w:ascii="仿宋" w:hAnsi="仿宋" w:eastAsia="仿宋" w:cs="仿宋"/>
          <w:color w:val="auto"/>
          <w:kern w:val="0"/>
          <w:sz w:val="28"/>
          <w:szCs w:val="28"/>
        </w:rPr>
        <w:br w:type="page"/>
      </w: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both"/>
        <w:rPr>
          <w:rFonts w:hint="eastAsia" w:ascii="宋体" w:hAnsi="宋体" w:eastAsia="宋体" w:cs="宋体"/>
          <w:b/>
          <w:color w:val="auto"/>
          <w:sz w:val="28"/>
          <w:szCs w:val="28"/>
        </w:rPr>
      </w:pP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关于</w:t>
      </w:r>
      <w:r>
        <w:rPr>
          <w:rFonts w:hint="eastAsia" w:ascii="仿宋" w:hAnsi="仿宋" w:eastAsia="仿宋" w:cs="仿宋"/>
          <w:b/>
          <w:color w:val="auto"/>
          <w:kern w:val="0"/>
          <w:sz w:val="32"/>
          <w:szCs w:val="32"/>
        </w:rPr>
        <w:t>无经审计的财务报告的承诺</w:t>
      </w:r>
    </w:p>
    <w:p>
      <w:pPr>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我公司郑重承诺：</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我方</w:t>
      </w:r>
      <w:r>
        <w:rPr>
          <w:rFonts w:hint="eastAsia" w:ascii="仿宋" w:hAnsi="仿宋" w:eastAsia="仿宋" w:cs="仿宋"/>
          <w:color w:val="auto"/>
          <w:sz w:val="24"/>
          <w:szCs w:val="24"/>
          <w:highlight w:val="none"/>
          <w:lang w:val="en-US" w:eastAsia="zh-CN"/>
        </w:rPr>
        <w:t>2021年度</w:t>
      </w:r>
      <w:r>
        <w:rPr>
          <w:rFonts w:hint="eastAsia" w:ascii="仿宋" w:hAnsi="仿宋" w:eastAsia="仿宋" w:cs="仿宋"/>
          <w:color w:val="auto"/>
          <w:sz w:val="24"/>
          <w:szCs w:val="24"/>
        </w:rPr>
        <w:t>财务和经营状况良好，不存在亏损，具备履行能力，无不良经营行为；无因投标人违约或不恰当履约引起的争议纠纷及仲裁和诉讼记录。</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本公司成立于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年无经审计的财务报告，只能提供财务报表，并保证财务报表的合法、真实、准确性。我公司对上述承诺的事项及提供的财务报表真实性负责，如有虚假，本公司</w:t>
      </w:r>
      <w:r>
        <w:rPr>
          <w:rFonts w:hint="eastAsia" w:ascii="仿宋" w:hAnsi="仿宋" w:eastAsia="仿宋" w:cs="仿宋"/>
          <w:color w:val="auto"/>
          <w:sz w:val="24"/>
          <w:szCs w:val="24"/>
          <w:lang w:eastAsia="zh-CN"/>
        </w:rPr>
        <w:t>愿意</w:t>
      </w:r>
      <w:r>
        <w:rPr>
          <w:rFonts w:hint="eastAsia" w:ascii="仿宋" w:hAnsi="仿宋" w:eastAsia="仿宋" w:cs="仿宋"/>
          <w:color w:val="auto"/>
          <w:sz w:val="24"/>
          <w:szCs w:val="24"/>
        </w:rPr>
        <w:t>承担相应法律责任。</w:t>
      </w:r>
    </w:p>
    <w:p>
      <w:pPr>
        <w:spacing w:line="520" w:lineRule="exact"/>
        <w:rPr>
          <w:rFonts w:hint="eastAsia" w:ascii="仿宋" w:hAnsi="仿宋" w:eastAsia="仿宋" w:cs="仿宋"/>
          <w:color w:val="auto"/>
          <w:sz w:val="24"/>
          <w:szCs w:val="24"/>
        </w:rPr>
      </w:pPr>
    </w:p>
    <w:p>
      <w:pPr>
        <w:spacing w:line="520" w:lineRule="exact"/>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spacing w:line="32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投 标 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（盖单位公章）</w:t>
      </w:r>
    </w:p>
    <w:p>
      <w:pPr>
        <w:spacing w:line="320" w:lineRule="exact"/>
        <w:ind w:firstLine="2880" w:firstLineChars="1200"/>
        <w:jc w:val="right"/>
        <w:rPr>
          <w:rFonts w:hint="eastAsia" w:ascii="仿宋" w:hAnsi="仿宋" w:eastAsia="仿宋" w:cs="仿宋"/>
          <w:color w:val="auto"/>
          <w:sz w:val="24"/>
          <w:szCs w:val="24"/>
        </w:rPr>
      </w:pPr>
    </w:p>
    <w:p>
      <w:pPr>
        <w:spacing w:line="440" w:lineRule="exact"/>
        <w:ind w:right="240" w:firstLine="480" w:firstLineChars="200"/>
        <w:jc w:val="right"/>
        <w:rPr>
          <w:rFonts w:hint="eastAsia" w:ascii="仿宋" w:hAnsi="仿宋" w:eastAsia="仿宋" w:cs="仿宋"/>
          <w:color w:val="auto"/>
          <w:sz w:val="24"/>
          <w:szCs w:val="24"/>
        </w:rPr>
      </w:pPr>
      <w:r>
        <w:rPr>
          <w:rFonts w:hint="eastAsia" w:ascii="仿宋" w:hAnsi="仿宋" w:eastAsia="仿宋" w:cs="仿宋"/>
          <w:color w:val="auto"/>
          <w:sz w:val="24"/>
          <w:szCs w:val="24"/>
        </w:rPr>
        <w:t>法定代表人或其委托代理人：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（签字）</w:t>
      </w:r>
    </w:p>
    <w:p>
      <w:pPr>
        <w:spacing w:line="440" w:lineRule="exact"/>
        <w:ind w:right="240" w:firstLine="480" w:firstLineChars="200"/>
        <w:jc w:val="right"/>
        <w:rPr>
          <w:rFonts w:hint="eastAsia" w:ascii="仿宋" w:hAnsi="仿宋" w:eastAsia="仿宋" w:cs="仿宋"/>
          <w:color w:val="auto"/>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r>
        <w:rPr>
          <w:rFonts w:hint="eastAsia" w:ascii="仿宋" w:hAnsi="仿宋" w:eastAsia="仿宋" w:cs="仿宋"/>
          <w:color w:val="auto"/>
          <w:kern w:val="0"/>
          <w:sz w:val="24"/>
          <w:szCs w:val="24"/>
          <w:u w:val="single"/>
          <w:lang w:val="en-US" w:eastAsia="zh-CN"/>
        </w:rPr>
        <w:t xml:space="preserve">     </w:t>
      </w:r>
      <w:r>
        <w:rPr>
          <w:rFonts w:hint="eastAsia" w:ascii="仿宋" w:hAnsi="仿宋" w:eastAsia="仿宋" w:cs="仿宋"/>
          <w:color w:val="auto"/>
          <w:kern w:val="0"/>
          <w:sz w:val="24"/>
          <w:szCs w:val="24"/>
        </w:rPr>
        <w:t>年</w:t>
      </w:r>
      <w:r>
        <w:rPr>
          <w:rFonts w:hint="eastAsia" w:ascii="仿宋" w:hAnsi="仿宋" w:eastAsia="仿宋" w:cs="仿宋"/>
          <w:color w:val="auto"/>
          <w:w w:val="200"/>
          <w:kern w:val="0"/>
          <w:sz w:val="24"/>
          <w:szCs w:val="24"/>
          <w:u w:val="single"/>
        </w:rPr>
        <w:t xml:space="preserve">  </w:t>
      </w:r>
      <w:r>
        <w:rPr>
          <w:rFonts w:hint="eastAsia" w:ascii="仿宋" w:hAnsi="仿宋" w:eastAsia="仿宋" w:cs="仿宋"/>
          <w:color w:val="auto"/>
          <w:kern w:val="0"/>
          <w:sz w:val="24"/>
          <w:szCs w:val="24"/>
        </w:rPr>
        <w:t>月</w:t>
      </w:r>
      <w:r>
        <w:rPr>
          <w:rFonts w:hint="eastAsia" w:ascii="仿宋" w:hAnsi="仿宋" w:eastAsia="仿宋" w:cs="仿宋"/>
          <w:color w:val="auto"/>
          <w:w w:val="200"/>
          <w:kern w:val="0"/>
          <w:sz w:val="24"/>
          <w:szCs w:val="24"/>
          <w:u w:val="single"/>
        </w:rPr>
        <w:t xml:space="preserve">  </w:t>
      </w:r>
      <w:r>
        <w:rPr>
          <w:rFonts w:hint="eastAsia" w:ascii="仿宋" w:hAnsi="仿宋" w:eastAsia="仿宋" w:cs="仿宋"/>
          <w:color w:val="auto"/>
          <w:kern w:val="0"/>
          <w:sz w:val="24"/>
          <w:szCs w:val="24"/>
        </w:rPr>
        <w:t>日</w:t>
      </w: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pStyle w:val="2"/>
        <w:rPr>
          <w:rFonts w:hint="eastAsia" w:ascii="仿宋" w:hAnsi="仿宋" w:eastAsia="仿宋" w:cs="仿宋"/>
          <w:color w:val="auto"/>
          <w:kern w:val="0"/>
          <w:sz w:val="24"/>
          <w:szCs w:val="24"/>
        </w:rPr>
      </w:pPr>
    </w:p>
    <w:p>
      <w:pPr>
        <w:rPr>
          <w:rFonts w:hint="eastAsia" w:ascii="仿宋" w:hAnsi="仿宋" w:eastAsia="仿宋" w:cs="仿宋"/>
          <w:color w:val="auto"/>
          <w:kern w:val="0"/>
          <w:sz w:val="24"/>
          <w:szCs w:val="24"/>
        </w:rPr>
      </w:pPr>
    </w:p>
    <w:p>
      <w:pPr>
        <w:pStyle w:val="2"/>
        <w:rPr>
          <w:rFonts w:hint="eastAsia" w:ascii="仿宋" w:hAnsi="仿宋" w:eastAsia="仿宋" w:cs="仿宋"/>
          <w:color w:val="auto"/>
          <w:kern w:val="0"/>
          <w:sz w:val="24"/>
          <w:szCs w:val="24"/>
        </w:rPr>
      </w:pPr>
    </w:p>
    <w:p>
      <w:pPr>
        <w:rPr>
          <w:rFonts w:hint="eastAsia" w:ascii="仿宋" w:hAnsi="仿宋" w:eastAsia="仿宋" w:cs="仿宋"/>
          <w:color w:val="auto"/>
          <w:kern w:val="0"/>
          <w:sz w:val="24"/>
          <w:szCs w:val="24"/>
        </w:rPr>
      </w:pPr>
    </w:p>
    <w:p>
      <w:pPr>
        <w:pStyle w:val="2"/>
        <w:rPr>
          <w:rFonts w:hint="eastAsia"/>
        </w:rPr>
      </w:pPr>
    </w:p>
    <w:p>
      <w:pPr>
        <w:tabs>
          <w:tab w:val="left" w:pos="6300"/>
        </w:tabs>
        <w:snapToGrid w:val="0"/>
        <w:spacing w:line="500" w:lineRule="exact"/>
        <w:ind w:firstLine="570"/>
        <w:jc w:val="right"/>
        <w:rPr>
          <w:rFonts w:hint="eastAsia" w:ascii="仿宋" w:hAnsi="仿宋" w:eastAsia="仿宋" w:cs="仿宋"/>
          <w:color w:val="auto"/>
          <w:kern w:val="0"/>
          <w:sz w:val="24"/>
          <w:szCs w:val="24"/>
        </w:rPr>
      </w:pPr>
    </w:p>
    <w:p>
      <w:pPr>
        <w:tabs>
          <w:tab w:val="left" w:pos="6300"/>
        </w:tabs>
        <w:snapToGrid w:val="0"/>
        <w:spacing w:line="500" w:lineRule="exact"/>
        <w:ind w:firstLine="570"/>
        <w:jc w:val="center"/>
        <w:rPr>
          <w:rFonts w:hint="eastAsia" w:ascii="仿宋" w:hAnsi="仿宋" w:eastAsia="仿宋"/>
          <w:color w:val="auto"/>
          <w:sz w:val="24"/>
          <w:highlight w:val="none"/>
        </w:rPr>
      </w:pPr>
      <w:r>
        <w:rPr>
          <w:rFonts w:hint="eastAsia" w:ascii="仿宋" w:hAnsi="仿宋" w:eastAsia="仿宋"/>
          <w:color w:val="auto"/>
          <w:highlight w:val="none"/>
        </w:rPr>
        <w:t>（六）书面声明</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szCs w:val="28"/>
          <w:highlight w:val="none"/>
        </w:rPr>
        <w:t>招标项目名称</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致：</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（采购代理机构名称）：</w:t>
      </w: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500" w:lineRule="exact"/>
        <w:ind w:firstLine="480" w:firstLineChars="200"/>
        <w:rPr>
          <w:rFonts w:hint="eastAsia" w:ascii="仿宋" w:hAnsi="仿宋" w:eastAsia="仿宋"/>
          <w:color w:val="auto"/>
          <w:sz w:val="24"/>
          <w:highlight w:val="none"/>
        </w:rPr>
      </w:pPr>
    </w:p>
    <w:p>
      <w:pPr>
        <w:tabs>
          <w:tab w:val="left" w:pos="6300"/>
        </w:tabs>
        <w:snapToGrid w:val="0"/>
        <w:spacing w:line="500" w:lineRule="exact"/>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特此声明。</w:t>
      </w: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firstLine="570"/>
        <w:rPr>
          <w:rFonts w:hint="eastAsia" w:ascii="仿宋" w:hAnsi="仿宋" w:eastAsia="仿宋"/>
          <w:color w:val="auto"/>
          <w:sz w:val="24"/>
          <w:highlight w:val="none"/>
        </w:rPr>
      </w:pPr>
    </w:p>
    <w:p>
      <w:pPr>
        <w:tabs>
          <w:tab w:val="left" w:pos="6300"/>
        </w:tabs>
        <w:snapToGrid w:val="0"/>
        <w:spacing w:line="500" w:lineRule="exact"/>
        <w:ind w:right="424" w:firstLine="570"/>
        <w:jc w:val="right"/>
        <w:rPr>
          <w:rFonts w:hint="eastAsia" w:ascii="仿宋" w:hAnsi="仿宋" w:eastAsia="仿宋"/>
          <w:color w:val="auto"/>
          <w:sz w:val="24"/>
          <w:highlight w:val="none"/>
        </w:rPr>
      </w:pPr>
      <w:r>
        <w:rPr>
          <w:rFonts w:hint="eastAsia" w:ascii="仿宋" w:hAnsi="仿宋" w:eastAsia="仿宋"/>
          <w:color w:val="auto"/>
          <w:sz w:val="24"/>
          <w:highlight w:val="none"/>
        </w:rPr>
        <w:t>（投标人公章）</w:t>
      </w:r>
    </w:p>
    <w:p>
      <w:pPr>
        <w:tabs>
          <w:tab w:val="left" w:pos="6300"/>
        </w:tabs>
        <w:snapToGrid w:val="0"/>
        <w:spacing w:line="500" w:lineRule="exact"/>
        <w:ind w:right="480" w:firstLine="570"/>
        <w:jc w:val="right"/>
        <w:rPr>
          <w:rFonts w:hint="eastAsia" w:ascii="仿宋" w:hAnsi="仿宋" w:eastAsia="仿宋"/>
          <w:color w:val="auto"/>
          <w:sz w:val="24"/>
          <w:highlight w:val="none"/>
        </w:rPr>
      </w:pPr>
      <w:r>
        <w:rPr>
          <w:rFonts w:hint="eastAsia" w:ascii="仿宋" w:hAnsi="仿宋" w:eastAsia="仿宋"/>
          <w:color w:val="auto"/>
          <w:sz w:val="24"/>
          <w:highlight w:val="none"/>
        </w:rPr>
        <w:t>年   月   日</w:t>
      </w:r>
    </w:p>
    <w:p>
      <w:pPr>
        <w:snapToGrid w:val="0"/>
        <w:spacing w:line="440" w:lineRule="exact"/>
        <w:ind w:firstLine="480" w:firstLineChars="200"/>
        <w:rPr>
          <w:rFonts w:hint="eastAsia" w:ascii="仿宋" w:hAnsi="仿宋" w:eastAsia="仿宋"/>
          <w:color w:val="auto"/>
          <w:sz w:val="24"/>
          <w:szCs w:val="24"/>
          <w:highlight w:val="none"/>
        </w:rPr>
      </w:pPr>
    </w:p>
    <w:p>
      <w:pPr>
        <w:tabs>
          <w:tab w:val="left" w:pos="6300"/>
        </w:tabs>
        <w:snapToGrid w:val="0"/>
        <w:spacing w:line="500" w:lineRule="exact"/>
        <w:ind w:firstLine="560" w:firstLineChars="200"/>
        <w:rPr>
          <w:rFonts w:hint="eastAsia" w:ascii="仿宋" w:hAnsi="仿宋" w:eastAsia="仿宋"/>
          <w:color w:val="auto"/>
          <w:highlight w:val="none"/>
        </w:rPr>
      </w:pPr>
      <w:r>
        <w:rPr>
          <w:rFonts w:ascii="仿宋" w:hAnsi="仿宋" w:eastAsia="仿宋"/>
          <w:color w:val="auto"/>
          <w:highlight w:val="none"/>
        </w:rPr>
        <w:br w:type="page"/>
      </w:r>
      <w:r>
        <w:rPr>
          <w:rFonts w:hint="eastAsia" w:ascii="仿宋" w:hAnsi="仿宋" w:eastAsia="仿宋"/>
          <w:color w:val="auto"/>
          <w:highlight w:val="none"/>
        </w:rPr>
        <w:t>（七）特定资格条件证书或证明文件</w:t>
      </w: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ind w:firstLine="570"/>
        <w:jc w:val="left"/>
        <w:rPr>
          <w:rFonts w:hint="eastAsia" w:ascii="仿宋" w:hAnsi="仿宋" w:eastAsia="仿宋"/>
          <w:color w:val="auto"/>
          <w:sz w:val="24"/>
          <w:highlight w:val="none"/>
        </w:rPr>
      </w:pPr>
    </w:p>
    <w:p>
      <w:pPr>
        <w:tabs>
          <w:tab w:val="left" w:pos="6300"/>
        </w:tabs>
        <w:snapToGrid w:val="0"/>
        <w:spacing w:line="500" w:lineRule="exact"/>
        <w:jc w:val="center"/>
        <w:rPr>
          <w:rFonts w:hint="eastAsia" w:ascii="仿宋" w:hAnsi="仿宋" w:eastAsia="仿宋"/>
          <w:color w:val="auto"/>
          <w:highlight w:val="none"/>
        </w:rPr>
      </w:pPr>
      <w:r>
        <w:rPr>
          <w:rFonts w:hint="eastAsia" w:ascii="仿宋" w:hAnsi="仿宋" w:eastAsia="仿宋"/>
          <w:color w:val="auto"/>
          <w:highlight w:val="none"/>
        </w:rPr>
        <w:t>（结束）</w:t>
      </w:r>
    </w:p>
    <w:sectPr>
      <w:headerReference r:id="rId9" w:type="default"/>
      <w:footerReference r:id="rId10" w:type="default"/>
      <w:type w:val="nextColumn"/>
      <w:pgSz w:w="11907" w:h="16840"/>
      <w:pgMar w:top="1134" w:right="1191" w:bottom="1134" w:left="1304" w:header="964" w:footer="992" w:gutter="0"/>
      <w:pgNumType w:fmt="decimal"/>
      <w:cols w:space="720" w:num="1"/>
      <w:rtlGutter w:val="0"/>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文鼎粗黑">
    <w:altName w:val="新宋体"/>
    <w:panose1 w:val="020B06090100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昆仑楷体">
    <w:altName w:val="宋体"/>
    <w:panose1 w:val="020106090000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5"/>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O++Gc/gAQAAuQMAAA4AAAAA&#10;AAAAAQAgAAAAHgEAAGRycy9lMm9Eb2MueG1sUEsFBgAAAAAGAAYAWQEAAHAFAAAAAA==&#10;">
              <v:fill on="f" focussize="0,0"/>
              <v:stroke on="f"/>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61"/>
      </w:rPr>
    </w:pPr>
    <w:r>
      <w:fldChar w:fldCharType="begin"/>
    </w:r>
    <w:r>
      <w:rPr>
        <w:rStyle w:val="61"/>
      </w:rPr>
      <w:instrText xml:space="preserve">PAGE  </w:instrText>
    </w:r>
    <w:r>
      <w:fldChar w:fldCharType="separate"/>
    </w:r>
    <w:r>
      <w:fldChar w:fldCharType="end"/>
    </w:r>
  </w:p>
  <w:p>
    <w:pPr>
      <w:pStyle w:val="3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5"/>
                          </w:pPr>
                          <w:r>
                            <w:fldChar w:fldCharType="begin"/>
                          </w:r>
                          <w:r>
                            <w:instrText xml:space="preserve"> PAGE  \* MERGEFORMAT </w:instrText>
                          </w:r>
                          <w:r>
                            <w:fldChar w:fldCharType="separate"/>
                          </w:r>
                          <w:r>
                            <w:t>4</w:t>
                          </w:r>
                          <w: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tgC3f4QEAALkDAAAOAAAA&#10;AAAAAAEAIAAAAB4BAABkcnMvZTJvRG9jLnhtbFBLBQYAAAAABgAGAFkBAABxBQAAAAA=&#10;">
              <v:fill on="f" focussize="0,0"/>
              <v:stroke on="f"/>
              <v:imagedata o:title=""/>
              <o:lock v:ext="edit" aspectratio="f"/>
              <v:textbox inset="0mm,0mm,0mm,0mm" style="mso-fit-shape-to-text:t;">
                <w:txbxContent>
                  <w:p>
                    <w:pPr>
                      <w:pStyle w:val="35"/>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4" w:space="1"/>
      </w:pBdr>
      <w:jc w:val="both"/>
      <w:rPr>
        <w:rFonts w:hint="eastAsia" w:ascii="方正仿宋_GBK" w:eastAsia="方正仿宋_GBK"/>
        <w:sz w:val="21"/>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E3A49"/>
    <w:multiLevelType w:val="singleLevel"/>
    <w:tmpl w:val="D3AE3A49"/>
    <w:lvl w:ilvl="0" w:tentative="0">
      <w:start w:val="2"/>
      <w:numFmt w:val="chineseCounting"/>
      <w:suff w:val="space"/>
      <w:lvlText w:val="第%1篇"/>
      <w:lvlJc w:val="left"/>
      <w:rPr>
        <w:rFonts w:hint="eastAsia"/>
      </w:rPr>
    </w:lvl>
  </w:abstractNum>
  <w:abstractNum w:abstractNumId="1">
    <w:nsid w:val="00000003"/>
    <w:multiLevelType w:val="singleLevel"/>
    <w:tmpl w:val="00000003"/>
    <w:lvl w:ilvl="0" w:tentative="0">
      <w:start w:val="1"/>
      <w:numFmt w:val="decimal"/>
      <w:pStyle w:val="14"/>
      <w:lvlText w:val="%1."/>
      <w:lvlJc w:val="left"/>
      <w:pPr>
        <w:tabs>
          <w:tab w:val="left" w:pos="780"/>
        </w:tabs>
        <w:ind w:left="780" w:hanging="360"/>
      </w:pPr>
    </w:lvl>
  </w:abstractNum>
  <w:abstractNum w:abstractNumId="2">
    <w:nsid w:val="00000005"/>
    <w:multiLevelType w:val="multilevel"/>
    <w:tmpl w:val="00000005"/>
    <w:lvl w:ilvl="0" w:tentative="0">
      <w:start w:val="1"/>
      <w:numFmt w:val="bullet"/>
      <w:pStyle w:val="187"/>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3">
    <w:nsid w:val="00000006"/>
    <w:multiLevelType w:val="singleLevel"/>
    <w:tmpl w:val="00000006"/>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07"/>
    <w:multiLevelType w:val="multilevel"/>
    <w:tmpl w:val="00000007"/>
    <w:lvl w:ilvl="0" w:tentative="0">
      <w:start w:val="1"/>
      <w:numFmt w:val="bullet"/>
      <w:pStyle w:val="92"/>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85"/>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A"/>
    <w:multiLevelType w:val="multilevel"/>
    <w:tmpl w:val="0000000A"/>
    <w:lvl w:ilvl="0" w:tentative="0">
      <w:start w:val="8"/>
      <w:numFmt w:val="decimal"/>
      <w:pStyle w:val="89"/>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93"/>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12"/>
    <w:multiLevelType w:val="singleLevel"/>
    <w:tmpl w:val="00000012"/>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3"/>
    <w:multiLevelType w:val="multilevel"/>
    <w:tmpl w:val="00000013"/>
    <w:lvl w:ilvl="0" w:tentative="0">
      <w:start w:val="1"/>
      <w:numFmt w:val="bullet"/>
      <w:pStyle w:val="11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5"/>
    <w:multiLevelType w:val="multilevel"/>
    <w:tmpl w:val="00000015"/>
    <w:lvl w:ilvl="0" w:tentative="0">
      <w:start w:val="1"/>
      <w:numFmt w:val="decimal"/>
      <w:pStyle w:val="192"/>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singleLevel"/>
    <w:tmpl w:val="00000016"/>
    <w:lvl w:ilvl="0" w:tentative="0">
      <w:start w:val="1"/>
      <w:numFmt w:val="bullet"/>
      <w:pStyle w:val="118"/>
      <w:lvlText w:val=""/>
      <w:lvlJc w:val="left"/>
      <w:pPr>
        <w:tabs>
          <w:tab w:val="left" w:pos="360"/>
        </w:tabs>
        <w:ind w:left="360" w:hanging="360"/>
      </w:pPr>
      <w:rPr>
        <w:rFonts w:hint="default" w:ascii="Wingdings" w:hAnsi="Wingdings"/>
      </w:rPr>
    </w:lvl>
  </w:abstractNum>
  <w:abstractNum w:abstractNumId="12">
    <w:nsid w:val="00000017"/>
    <w:multiLevelType w:val="singleLevel"/>
    <w:tmpl w:val="00000017"/>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13">
    <w:nsid w:val="00000019"/>
    <w:multiLevelType w:val="singleLevel"/>
    <w:tmpl w:val="00000019"/>
    <w:lvl w:ilvl="0" w:tentative="0">
      <w:start w:val="1"/>
      <w:numFmt w:val="decimal"/>
      <w:pStyle w:val="146"/>
      <w:lvlText w:val="%1)"/>
      <w:lvlJc w:val="left"/>
      <w:pPr>
        <w:tabs>
          <w:tab w:val="left" w:pos="425"/>
        </w:tabs>
        <w:ind w:left="425" w:hanging="425"/>
      </w:pPr>
      <w:rPr>
        <w:rFonts w:hint="eastAsia"/>
      </w:rPr>
    </w:lvl>
  </w:abstractNum>
  <w:abstractNum w:abstractNumId="14">
    <w:nsid w:val="0000001A"/>
    <w:multiLevelType w:val="multilevel"/>
    <w:tmpl w:val="0000001A"/>
    <w:lvl w:ilvl="0" w:tentative="0">
      <w:start w:val="1"/>
      <w:numFmt w:val="decimal"/>
      <w:pStyle w:val="125"/>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chineseCountingThousand"/>
      <w:pStyle w:val="179"/>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1A2EB16"/>
    <w:multiLevelType w:val="singleLevel"/>
    <w:tmpl w:val="01A2EB16"/>
    <w:lvl w:ilvl="0" w:tentative="0">
      <w:start w:val="2"/>
      <w:numFmt w:val="decimal"/>
      <w:suff w:val="space"/>
      <w:lvlText w:val="%1."/>
      <w:lvlJc w:val="left"/>
    </w:lvl>
  </w:abstractNum>
  <w:abstractNum w:abstractNumId="17">
    <w:nsid w:val="60F7119A"/>
    <w:multiLevelType w:val="singleLevel"/>
    <w:tmpl w:val="60F7119A"/>
    <w:lvl w:ilvl="0" w:tentative="0">
      <w:start w:val="3"/>
      <w:numFmt w:val="chineseCounting"/>
      <w:suff w:val="nothing"/>
      <w:lvlText w:val="%1、"/>
      <w:lvlJc w:val="left"/>
      <w:rPr>
        <w:rFonts w:hint="eastAsia"/>
      </w:rPr>
    </w:lvl>
  </w:abstractNum>
  <w:num w:numId="1">
    <w:abstractNumId w:val="5"/>
  </w:num>
  <w:num w:numId="2">
    <w:abstractNumId w:val="1"/>
  </w:num>
  <w:num w:numId="3">
    <w:abstractNumId w:val="3"/>
  </w:num>
  <w:num w:numId="4">
    <w:abstractNumId w:val="12"/>
  </w:num>
  <w:num w:numId="5">
    <w:abstractNumId w:val="8"/>
  </w:num>
  <w:num w:numId="6">
    <w:abstractNumId w:val="6"/>
  </w:num>
  <w:num w:numId="7">
    <w:abstractNumId w:val="7"/>
  </w:num>
  <w:num w:numId="8">
    <w:abstractNumId w:val="4"/>
  </w:num>
  <w:num w:numId="9">
    <w:abstractNumId w:val="9"/>
  </w:num>
  <w:num w:numId="10">
    <w:abstractNumId w:val="11"/>
  </w:num>
  <w:num w:numId="11">
    <w:abstractNumId w:val="14"/>
  </w:num>
  <w:num w:numId="12">
    <w:abstractNumId w:val="13"/>
  </w:num>
  <w:num w:numId="13">
    <w:abstractNumId w:val="15"/>
  </w:num>
  <w:num w:numId="14">
    <w:abstractNumId w:val="2"/>
  </w:num>
  <w:num w:numId="15">
    <w:abstractNumId w:val="10"/>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hyphenationZone w:val="36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ZDkxNzFkNjI1OTgxMzlhMWUxMjM0N2IyZjNlNjMifQ=="/>
  </w:docVars>
  <w:rsids>
    <w:rsidRoot w:val="00172A27"/>
    <w:rsid w:val="000003BB"/>
    <w:rsid w:val="00004E02"/>
    <w:rsid w:val="000072F0"/>
    <w:rsid w:val="00011AF1"/>
    <w:rsid w:val="00020335"/>
    <w:rsid w:val="00021946"/>
    <w:rsid w:val="00025C8E"/>
    <w:rsid w:val="000266A1"/>
    <w:rsid w:val="0003075E"/>
    <w:rsid w:val="0003282A"/>
    <w:rsid w:val="00034A67"/>
    <w:rsid w:val="0003767C"/>
    <w:rsid w:val="000376BA"/>
    <w:rsid w:val="00042250"/>
    <w:rsid w:val="00043311"/>
    <w:rsid w:val="00054BCC"/>
    <w:rsid w:val="00056058"/>
    <w:rsid w:val="00057565"/>
    <w:rsid w:val="00060807"/>
    <w:rsid w:val="00064EA7"/>
    <w:rsid w:val="0006572E"/>
    <w:rsid w:val="00075520"/>
    <w:rsid w:val="000946BD"/>
    <w:rsid w:val="00094D91"/>
    <w:rsid w:val="000A3134"/>
    <w:rsid w:val="000A4082"/>
    <w:rsid w:val="000A5589"/>
    <w:rsid w:val="000B2716"/>
    <w:rsid w:val="000B7999"/>
    <w:rsid w:val="000C06D1"/>
    <w:rsid w:val="000C2017"/>
    <w:rsid w:val="000C2306"/>
    <w:rsid w:val="000C2606"/>
    <w:rsid w:val="000C4016"/>
    <w:rsid w:val="000C47BC"/>
    <w:rsid w:val="000D568F"/>
    <w:rsid w:val="000D66BE"/>
    <w:rsid w:val="000E14D0"/>
    <w:rsid w:val="000E32C9"/>
    <w:rsid w:val="000E43DC"/>
    <w:rsid w:val="000E6331"/>
    <w:rsid w:val="000F16AA"/>
    <w:rsid w:val="000F176A"/>
    <w:rsid w:val="000F30CC"/>
    <w:rsid w:val="000F3783"/>
    <w:rsid w:val="000F391C"/>
    <w:rsid w:val="000F482B"/>
    <w:rsid w:val="001103D7"/>
    <w:rsid w:val="00110AA3"/>
    <w:rsid w:val="00111819"/>
    <w:rsid w:val="0011194D"/>
    <w:rsid w:val="00112522"/>
    <w:rsid w:val="001125BF"/>
    <w:rsid w:val="00113C81"/>
    <w:rsid w:val="0012297F"/>
    <w:rsid w:val="00122FAE"/>
    <w:rsid w:val="001256A8"/>
    <w:rsid w:val="001329C4"/>
    <w:rsid w:val="00135041"/>
    <w:rsid w:val="00135250"/>
    <w:rsid w:val="0014045A"/>
    <w:rsid w:val="001407F6"/>
    <w:rsid w:val="0015271E"/>
    <w:rsid w:val="001528E5"/>
    <w:rsid w:val="0015326A"/>
    <w:rsid w:val="00161645"/>
    <w:rsid w:val="00165D21"/>
    <w:rsid w:val="001767A8"/>
    <w:rsid w:val="00181305"/>
    <w:rsid w:val="0018194D"/>
    <w:rsid w:val="001864B0"/>
    <w:rsid w:val="00186A28"/>
    <w:rsid w:val="00187F68"/>
    <w:rsid w:val="00191EDB"/>
    <w:rsid w:val="00195BAD"/>
    <w:rsid w:val="001961B5"/>
    <w:rsid w:val="00197B4A"/>
    <w:rsid w:val="001A0940"/>
    <w:rsid w:val="001A4064"/>
    <w:rsid w:val="001B4A20"/>
    <w:rsid w:val="001C08B0"/>
    <w:rsid w:val="001C2080"/>
    <w:rsid w:val="001C5088"/>
    <w:rsid w:val="001C6A1E"/>
    <w:rsid w:val="001C6A2B"/>
    <w:rsid w:val="001D3224"/>
    <w:rsid w:val="001D3B7E"/>
    <w:rsid w:val="001E2993"/>
    <w:rsid w:val="001E4F32"/>
    <w:rsid w:val="001E7195"/>
    <w:rsid w:val="001F07F7"/>
    <w:rsid w:val="001F1B54"/>
    <w:rsid w:val="001F2CAB"/>
    <w:rsid w:val="001F381D"/>
    <w:rsid w:val="001F5A8A"/>
    <w:rsid w:val="001F6E3F"/>
    <w:rsid w:val="001F707E"/>
    <w:rsid w:val="002101B3"/>
    <w:rsid w:val="0021649F"/>
    <w:rsid w:val="00217C0F"/>
    <w:rsid w:val="00220225"/>
    <w:rsid w:val="0022356F"/>
    <w:rsid w:val="00223B03"/>
    <w:rsid w:val="0022528C"/>
    <w:rsid w:val="0022640C"/>
    <w:rsid w:val="0022711C"/>
    <w:rsid w:val="00227651"/>
    <w:rsid w:val="00230CE6"/>
    <w:rsid w:val="00233AFE"/>
    <w:rsid w:val="00236E09"/>
    <w:rsid w:val="0023700C"/>
    <w:rsid w:val="00237468"/>
    <w:rsid w:val="002435D0"/>
    <w:rsid w:val="00243F8F"/>
    <w:rsid w:val="00244300"/>
    <w:rsid w:val="002474A9"/>
    <w:rsid w:val="00252999"/>
    <w:rsid w:val="00252E9D"/>
    <w:rsid w:val="0025308A"/>
    <w:rsid w:val="0025601D"/>
    <w:rsid w:val="00257257"/>
    <w:rsid w:val="00257FF1"/>
    <w:rsid w:val="00261D69"/>
    <w:rsid w:val="00262267"/>
    <w:rsid w:val="00262CB5"/>
    <w:rsid w:val="002638E5"/>
    <w:rsid w:val="00263F00"/>
    <w:rsid w:val="00264A68"/>
    <w:rsid w:val="00265244"/>
    <w:rsid w:val="00266BCA"/>
    <w:rsid w:val="00275F04"/>
    <w:rsid w:val="0028066C"/>
    <w:rsid w:val="002829D4"/>
    <w:rsid w:val="00282E57"/>
    <w:rsid w:val="00282F6A"/>
    <w:rsid w:val="002833CF"/>
    <w:rsid w:val="0029022C"/>
    <w:rsid w:val="00293471"/>
    <w:rsid w:val="002A008C"/>
    <w:rsid w:val="002A0576"/>
    <w:rsid w:val="002A6C29"/>
    <w:rsid w:val="002B26F0"/>
    <w:rsid w:val="002B31D4"/>
    <w:rsid w:val="002C07DE"/>
    <w:rsid w:val="002C5C0E"/>
    <w:rsid w:val="002C6836"/>
    <w:rsid w:val="002C7F2B"/>
    <w:rsid w:val="002D2F75"/>
    <w:rsid w:val="002D36E9"/>
    <w:rsid w:val="002E0FB6"/>
    <w:rsid w:val="002E1597"/>
    <w:rsid w:val="002E2816"/>
    <w:rsid w:val="002E41DF"/>
    <w:rsid w:val="002E6DFA"/>
    <w:rsid w:val="002F1086"/>
    <w:rsid w:val="002F1557"/>
    <w:rsid w:val="002F5EEF"/>
    <w:rsid w:val="0030087D"/>
    <w:rsid w:val="00301FF8"/>
    <w:rsid w:val="003055FB"/>
    <w:rsid w:val="00305F51"/>
    <w:rsid w:val="003075D9"/>
    <w:rsid w:val="003078AE"/>
    <w:rsid w:val="003144DF"/>
    <w:rsid w:val="00316C9A"/>
    <w:rsid w:val="00317BBE"/>
    <w:rsid w:val="00321104"/>
    <w:rsid w:val="003220FF"/>
    <w:rsid w:val="00322597"/>
    <w:rsid w:val="003231A8"/>
    <w:rsid w:val="00327355"/>
    <w:rsid w:val="00331597"/>
    <w:rsid w:val="003340BB"/>
    <w:rsid w:val="003431D8"/>
    <w:rsid w:val="00344FF3"/>
    <w:rsid w:val="00347CE1"/>
    <w:rsid w:val="00350F6A"/>
    <w:rsid w:val="003657B2"/>
    <w:rsid w:val="00370BF4"/>
    <w:rsid w:val="0037169E"/>
    <w:rsid w:val="00372DC7"/>
    <w:rsid w:val="003754CD"/>
    <w:rsid w:val="00375B6A"/>
    <w:rsid w:val="00375B89"/>
    <w:rsid w:val="00380667"/>
    <w:rsid w:val="00383C9F"/>
    <w:rsid w:val="003846F7"/>
    <w:rsid w:val="00386295"/>
    <w:rsid w:val="0038635F"/>
    <w:rsid w:val="003902F6"/>
    <w:rsid w:val="00392A5E"/>
    <w:rsid w:val="003968A8"/>
    <w:rsid w:val="003A4636"/>
    <w:rsid w:val="003A6A32"/>
    <w:rsid w:val="003B2994"/>
    <w:rsid w:val="003B35D0"/>
    <w:rsid w:val="003C3995"/>
    <w:rsid w:val="003C7431"/>
    <w:rsid w:val="003D0992"/>
    <w:rsid w:val="003D1857"/>
    <w:rsid w:val="003D1F45"/>
    <w:rsid w:val="003D6FF0"/>
    <w:rsid w:val="003E39B8"/>
    <w:rsid w:val="003E554C"/>
    <w:rsid w:val="003E5E95"/>
    <w:rsid w:val="003E699F"/>
    <w:rsid w:val="003E70FB"/>
    <w:rsid w:val="003F2CFF"/>
    <w:rsid w:val="003F5BC7"/>
    <w:rsid w:val="0040154D"/>
    <w:rsid w:val="00404747"/>
    <w:rsid w:val="0040799A"/>
    <w:rsid w:val="0041006C"/>
    <w:rsid w:val="00410D92"/>
    <w:rsid w:val="00411C41"/>
    <w:rsid w:val="004157DD"/>
    <w:rsid w:val="00415899"/>
    <w:rsid w:val="00420FC9"/>
    <w:rsid w:val="00421FE4"/>
    <w:rsid w:val="00422860"/>
    <w:rsid w:val="00425990"/>
    <w:rsid w:val="00425B08"/>
    <w:rsid w:val="0042774A"/>
    <w:rsid w:val="00436C86"/>
    <w:rsid w:val="00442474"/>
    <w:rsid w:val="00443228"/>
    <w:rsid w:val="0044361E"/>
    <w:rsid w:val="00443757"/>
    <w:rsid w:val="00446794"/>
    <w:rsid w:val="00446B28"/>
    <w:rsid w:val="0045181E"/>
    <w:rsid w:val="00454511"/>
    <w:rsid w:val="004557DB"/>
    <w:rsid w:val="004558F5"/>
    <w:rsid w:val="0045590E"/>
    <w:rsid w:val="00462A3C"/>
    <w:rsid w:val="00462D63"/>
    <w:rsid w:val="00466D5A"/>
    <w:rsid w:val="00475385"/>
    <w:rsid w:val="0047562B"/>
    <w:rsid w:val="0048396B"/>
    <w:rsid w:val="00485174"/>
    <w:rsid w:val="0048566E"/>
    <w:rsid w:val="00486EC6"/>
    <w:rsid w:val="00487CDA"/>
    <w:rsid w:val="004915E3"/>
    <w:rsid w:val="00491AED"/>
    <w:rsid w:val="004978F0"/>
    <w:rsid w:val="004A0052"/>
    <w:rsid w:val="004A2306"/>
    <w:rsid w:val="004A263F"/>
    <w:rsid w:val="004A5BBC"/>
    <w:rsid w:val="004B1497"/>
    <w:rsid w:val="004B159F"/>
    <w:rsid w:val="004B2831"/>
    <w:rsid w:val="004B6CA6"/>
    <w:rsid w:val="004B7FE0"/>
    <w:rsid w:val="004C1FC5"/>
    <w:rsid w:val="004C2A6E"/>
    <w:rsid w:val="004D009E"/>
    <w:rsid w:val="004D0E6E"/>
    <w:rsid w:val="004D32AF"/>
    <w:rsid w:val="004E0174"/>
    <w:rsid w:val="004E0781"/>
    <w:rsid w:val="004E257E"/>
    <w:rsid w:val="004F2721"/>
    <w:rsid w:val="004F2BA7"/>
    <w:rsid w:val="00500E9B"/>
    <w:rsid w:val="005016D9"/>
    <w:rsid w:val="0050253D"/>
    <w:rsid w:val="00502629"/>
    <w:rsid w:val="00503149"/>
    <w:rsid w:val="00505B9E"/>
    <w:rsid w:val="005102E2"/>
    <w:rsid w:val="00512C2F"/>
    <w:rsid w:val="00513CBD"/>
    <w:rsid w:val="00515415"/>
    <w:rsid w:val="0052124F"/>
    <w:rsid w:val="00522FA5"/>
    <w:rsid w:val="00525E4A"/>
    <w:rsid w:val="00526C0A"/>
    <w:rsid w:val="005310E4"/>
    <w:rsid w:val="005316F9"/>
    <w:rsid w:val="0053343F"/>
    <w:rsid w:val="00533F51"/>
    <w:rsid w:val="00536251"/>
    <w:rsid w:val="0053716F"/>
    <w:rsid w:val="005375CE"/>
    <w:rsid w:val="005378DE"/>
    <w:rsid w:val="00537C42"/>
    <w:rsid w:val="00541231"/>
    <w:rsid w:val="00546C36"/>
    <w:rsid w:val="0055311C"/>
    <w:rsid w:val="005645D3"/>
    <w:rsid w:val="005663BA"/>
    <w:rsid w:val="00566CBB"/>
    <w:rsid w:val="00583A49"/>
    <w:rsid w:val="00587496"/>
    <w:rsid w:val="00590CE4"/>
    <w:rsid w:val="005943B0"/>
    <w:rsid w:val="005963E8"/>
    <w:rsid w:val="005A01C2"/>
    <w:rsid w:val="005A1618"/>
    <w:rsid w:val="005A18A4"/>
    <w:rsid w:val="005A19DA"/>
    <w:rsid w:val="005A4766"/>
    <w:rsid w:val="005A6648"/>
    <w:rsid w:val="005A6846"/>
    <w:rsid w:val="005A7181"/>
    <w:rsid w:val="005B1105"/>
    <w:rsid w:val="005B1829"/>
    <w:rsid w:val="005B3768"/>
    <w:rsid w:val="005B5D00"/>
    <w:rsid w:val="005C00AC"/>
    <w:rsid w:val="005C4345"/>
    <w:rsid w:val="005C466D"/>
    <w:rsid w:val="005C789B"/>
    <w:rsid w:val="005D2F52"/>
    <w:rsid w:val="005D4E6B"/>
    <w:rsid w:val="005D689F"/>
    <w:rsid w:val="005E117E"/>
    <w:rsid w:val="005E12B4"/>
    <w:rsid w:val="005E7B12"/>
    <w:rsid w:val="005E7BCC"/>
    <w:rsid w:val="005F338F"/>
    <w:rsid w:val="005F5262"/>
    <w:rsid w:val="005F65A7"/>
    <w:rsid w:val="00600DF2"/>
    <w:rsid w:val="00601283"/>
    <w:rsid w:val="006016E0"/>
    <w:rsid w:val="0060469C"/>
    <w:rsid w:val="00606612"/>
    <w:rsid w:val="006069DE"/>
    <w:rsid w:val="00616EC6"/>
    <w:rsid w:val="00621BB0"/>
    <w:rsid w:val="00633632"/>
    <w:rsid w:val="006341BD"/>
    <w:rsid w:val="006347BE"/>
    <w:rsid w:val="00636C1F"/>
    <w:rsid w:val="00641FD5"/>
    <w:rsid w:val="0064263E"/>
    <w:rsid w:val="0064330C"/>
    <w:rsid w:val="006452D5"/>
    <w:rsid w:val="006456C7"/>
    <w:rsid w:val="00653FC4"/>
    <w:rsid w:val="00655645"/>
    <w:rsid w:val="006558D7"/>
    <w:rsid w:val="00655CB3"/>
    <w:rsid w:val="006604CC"/>
    <w:rsid w:val="00661709"/>
    <w:rsid w:val="00662357"/>
    <w:rsid w:val="00664D6E"/>
    <w:rsid w:val="006661A4"/>
    <w:rsid w:val="0066764A"/>
    <w:rsid w:val="006752A0"/>
    <w:rsid w:val="00675735"/>
    <w:rsid w:val="00675E52"/>
    <w:rsid w:val="006800A2"/>
    <w:rsid w:val="00680CC4"/>
    <w:rsid w:val="00680EEC"/>
    <w:rsid w:val="0068128E"/>
    <w:rsid w:val="00683021"/>
    <w:rsid w:val="006830A1"/>
    <w:rsid w:val="0068367F"/>
    <w:rsid w:val="00683DDF"/>
    <w:rsid w:val="00687999"/>
    <w:rsid w:val="00692295"/>
    <w:rsid w:val="006931D7"/>
    <w:rsid w:val="00696EEA"/>
    <w:rsid w:val="006A0741"/>
    <w:rsid w:val="006A0B45"/>
    <w:rsid w:val="006A3DC1"/>
    <w:rsid w:val="006A5644"/>
    <w:rsid w:val="006A71EB"/>
    <w:rsid w:val="006B4021"/>
    <w:rsid w:val="006C32BC"/>
    <w:rsid w:val="006C4663"/>
    <w:rsid w:val="006C4D2A"/>
    <w:rsid w:val="006C7755"/>
    <w:rsid w:val="006D3608"/>
    <w:rsid w:val="006D3828"/>
    <w:rsid w:val="006D59B4"/>
    <w:rsid w:val="006D7125"/>
    <w:rsid w:val="006E016E"/>
    <w:rsid w:val="006E1550"/>
    <w:rsid w:val="006E2F2B"/>
    <w:rsid w:val="006F1A60"/>
    <w:rsid w:val="006F7B0F"/>
    <w:rsid w:val="00701E8B"/>
    <w:rsid w:val="00704CB4"/>
    <w:rsid w:val="00705A0B"/>
    <w:rsid w:val="007070E3"/>
    <w:rsid w:val="007101F0"/>
    <w:rsid w:val="00717D8B"/>
    <w:rsid w:val="00726CCC"/>
    <w:rsid w:val="00727554"/>
    <w:rsid w:val="00730019"/>
    <w:rsid w:val="00730466"/>
    <w:rsid w:val="00730AB1"/>
    <w:rsid w:val="00731E6E"/>
    <w:rsid w:val="00733B6B"/>
    <w:rsid w:val="00735BA5"/>
    <w:rsid w:val="00742F59"/>
    <w:rsid w:val="007440E6"/>
    <w:rsid w:val="007445DB"/>
    <w:rsid w:val="007570BB"/>
    <w:rsid w:val="00757139"/>
    <w:rsid w:val="007613AA"/>
    <w:rsid w:val="007615A8"/>
    <w:rsid w:val="00761661"/>
    <w:rsid w:val="007619F1"/>
    <w:rsid w:val="00761E7F"/>
    <w:rsid w:val="007629D1"/>
    <w:rsid w:val="007641FC"/>
    <w:rsid w:val="00765EEB"/>
    <w:rsid w:val="0077586D"/>
    <w:rsid w:val="00781E90"/>
    <w:rsid w:val="007843B7"/>
    <w:rsid w:val="007849C7"/>
    <w:rsid w:val="007859FF"/>
    <w:rsid w:val="00790422"/>
    <w:rsid w:val="0079150F"/>
    <w:rsid w:val="00793F0B"/>
    <w:rsid w:val="007953B5"/>
    <w:rsid w:val="007977A7"/>
    <w:rsid w:val="007A1958"/>
    <w:rsid w:val="007A1D16"/>
    <w:rsid w:val="007A4D8F"/>
    <w:rsid w:val="007B08DC"/>
    <w:rsid w:val="007B12C5"/>
    <w:rsid w:val="007B346A"/>
    <w:rsid w:val="007B4DE7"/>
    <w:rsid w:val="007B5BBE"/>
    <w:rsid w:val="007B6CDF"/>
    <w:rsid w:val="007C7FA8"/>
    <w:rsid w:val="007D5328"/>
    <w:rsid w:val="007E0353"/>
    <w:rsid w:val="007E0FF7"/>
    <w:rsid w:val="007E7604"/>
    <w:rsid w:val="007F13DC"/>
    <w:rsid w:val="007F2C91"/>
    <w:rsid w:val="007F396F"/>
    <w:rsid w:val="007F3ED7"/>
    <w:rsid w:val="007F4318"/>
    <w:rsid w:val="007F672B"/>
    <w:rsid w:val="00800A7E"/>
    <w:rsid w:val="00805E84"/>
    <w:rsid w:val="00810596"/>
    <w:rsid w:val="00813DCB"/>
    <w:rsid w:val="008179D0"/>
    <w:rsid w:val="008214A4"/>
    <w:rsid w:val="00822952"/>
    <w:rsid w:val="00823323"/>
    <w:rsid w:val="00823F06"/>
    <w:rsid w:val="00825E3B"/>
    <w:rsid w:val="0083018C"/>
    <w:rsid w:val="00830EE4"/>
    <w:rsid w:val="00831DEF"/>
    <w:rsid w:val="0083206E"/>
    <w:rsid w:val="008356FF"/>
    <w:rsid w:val="00836907"/>
    <w:rsid w:val="00841A10"/>
    <w:rsid w:val="0084235F"/>
    <w:rsid w:val="0084441C"/>
    <w:rsid w:val="00844748"/>
    <w:rsid w:val="00847436"/>
    <w:rsid w:val="00850495"/>
    <w:rsid w:val="00850EC5"/>
    <w:rsid w:val="00851796"/>
    <w:rsid w:val="00852CCF"/>
    <w:rsid w:val="00860FA0"/>
    <w:rsid w:val="0086196E"/>
    <w:rsid w:val="00872CE0"/>
    <w:rsid w:val="008805E7"/>
    <w:rsid w:val="00885CBF"/>
    <w:rsid w:val="00887F44"/>
    <w:rsid w:val="008922A1"/>
    <w:rsid w:val="0089637F"/>
    <w:rsid w:val="008973AD"/>
    <w:rsid w:val="008A0540"/>
    <w:rsid w:val="008A056B"/>
    <w:rsid w:val="008A0CEB"/>
    <w:rsid w:val="008A1349"/>
    <w:rsid w:val="008A6DB1"/>
    <w:rsid w:val="008C0317"/>
    <w:rsid w:val="008C1337"/>
    <w:rsid w:val="008C4238"/>
    <w:rsid w:val="008C54D0"/>
    <w:rsid w:val="008C57FA"/>
    <w:rsid w:val="008C5917"/>
    <w:rsid w:val="008C6A8B"/>
    <w:rsid w:val="008D2FB6"/>
    <w:rsid w:val="008D4BC1"/>
    <w:rsid w:val="008D5D99"/>
    <w:rsid w:val="008D62C4"/>
    <w:rsid w:val="008D72F8"/>
    <w:rsid w:val="008E0401"/>
    <w:rsid w:val="008E19F1"/>
    <w:rsid w:val="008E3775"/>
    <w:rsid w:val="008E4A4A"/>
    <w:rsid w:val="008E50F9"/>
    <w:rsid w:val="008E75AE"/>
    <w:rsid w:val="008F0944"/>
    <w:rsid w:val="008F0CB3"/>
    <w:rsid w:val="008F51B6"/>
    <w:rsid w:val="008F6B0B"/>
    <w:rsid w:val="008F7FC7"/>
    <w:rsid w:val="00903862"/>
    <w:rsid w:val="009060B1"/>
    <w:rsid w:val="00906A06"/>
    <w:rsid w:val="00906CF9"/>
    <w:rsid w:val="00907D95"/>
    <w:rsid w:val="009111F7"/>
    <w:rsid w:val="00917A39"/>
    <w:rsid w:val="0092098F"/>
    <w:rsid w:val="00922A5C"/>
    <w:rsid w:val="00923C4C"/>
    <w:rsid w:val="0092759C"/>
    <w:rsid w:val="00927881"/>
    <w:rsid w:val="00932194"/>
    <w:rsid w:val="00932299"/>
    <w:rsid w:val="009431CE"/>
    <w:rsid w:val="009434F5"/>
    <w:rsid w:val="00952A37"/>
    <w:rsid w:val="0095360A"/>
    <w:rsid w:val="00955FF1"/>
    <w:rsid w:val="0096361A"/>
    <w:rsid w:val="00965D3C"/>
    <w:rsid w:val="009704E8"/>
    <w:rsid w:val="00977EA2"/>
    <w:rsid w:val="009815D1"/>
    <w:rsid w:val="009847F2"/>
    <w:rsid w:val="00986FC8"/>
    <w:rsid w:val="009903A3"/>
    <w:rsid w:val="0099205D"/>
    <w:rsid w:val="009925D3"/>
    <w:rsid w:val="009931BD"/>
    <w:rsid w:val="0099391B"/>
    <w:rsid w:val="00993E75"/>
    <w:rsid w:val="009961AF"/>
    <w:rsid w:val="00997E88"/>
    <w:rsid w:val="00997ED7"/>
    <w:rsid w:val="009A0148"/>
    <w:rsid w:val="009A19B4"/>
    <w:rsid w:val="009A2F0C"/>
    <w:rsid w:val="009A559F"/>
    <w:rsid w:val="009A56AB"/>
    <w:rsid w:val="009B01ED"/>
    <w:rsid w:val="009B25D5"/>
    <w:rsid w:val="009B7144"/>
    <w:rsid w:val="009C3340"/>
    <w:rsid w:val="009C33FD"/>
    <w:rsid w:val="009C6566"/>
    <w:rsid w:val="009C7365"/>
    <w:rsid w:val="009D3468"/>
    <w:rsid w:val="009D3B7C"/>
    <w:rsid w:val="009E534E"/>
    <w:rsid w:val="009E6755"/>
    <w:rsid w:val="009E70F5"/>
    <w:rsid w:val="009E7274"/>
    <w:rsid w:val="009F3F85"/>
    <w:rsid w:val="009F42DA"/>
    <w:rsid w:val="00A05776"/>
    <w:rsid w:val="00A16E9C"/>
    <w:rsid w:val="00A216BD"/>
    <w:rsid w:val="00A2600F"/>
    <w:rsid w:val="00A331D1"/>
    <w:rsid w:val="00A336ED"/>
    <w:rsid w:val="00A33DAC"/>
    <w:rsid w:val="00A348D5"/>
    <w:rsid w:val="00A36EAF"/>
    <w:rsid w:val="00A42D9F"/>
    <w:rsid w:val="00A43B02"/>
    <w:rsid w:val="00A43BFA"/>
    <w:rsid w:val="00A50283"/>
    <w:rsid w:val="00A52466"/>
    <w:rsid w:val="00A52485"/>
    <w:rsid w:val="00A52858"/>
    <w:rsid w:val="00A56894"/>
    <w:rsid w:val="00A70CFF"/>
    <w:rsid w:val="00A84CC4"/>
    <w:rsid w:val="00A85534"/>
    <w:rsid w:val="00A85AFE"/>
    <w:rsid w:val="00A87965"/>
    <w:rsid w:val="00A926AD"/>
    <w:rsid w:val="00A96FAC"/>
    <w:rsid w:val="00A97379"/>
    <w:rsid w:val="00AA135C"/>
    <w:rsid w:val="00AA178F"/>
    <w:rsid w:val="00AA19BE"/>
    <w:rsid w:val="00AA29D5"/>
    <w:rsid w:val="00AA3559"/>
    <w:rsid w:val="00AA3A39"/>
    <w:rsid w:val="00AA3DB5"/>
    <w:rsid w:val="00AA3EA9"/>
    <w:rsid w:val="00AA5FAE"/>
    <w:rsid w:val="00AB3539"/>
    <w:rsid w:val="00AB65A4"/>
    <w:rsid w:val="00AB6BE9"/>
    <w:rsid w:val="00AC0D4B"/>
    <w:rsid w:val="00AC34CB"/>
    <w:rsid w:val="00AC686A"/>
    <w:rsid w:val="00AC6BF3"/>
    <w:rsid w:val="00AC76E8"/>
    <w:rsid w:val="00AC7E13"/>
    <w:rsid w:val="00AD4683"/>
    <w:rsid w:val="00AE0247"/>
    <w:rsid w:val="00AE317A"/>
    <w:rsid w:val="00AE3756"/>
    <w:rsid w:val="00AE6D6B"/>
    <w:rsid w:val="00AF0EB0"/>
    <w:rsid w:val="00AF34DE"/>
    <w:rsid w:val="00AF54C3"/>
    <w:rsid w:val="00B01DC4"/>
    <w:rsid w:val="00B02390"/>
    <w:rsid w:val="00B02726"/>
    <w:rsid w:val="00B033F1"/>
    <w:rsid w:val="00B03427"/>
    <w:rsid w:val="00B10447"/>
    <w:rsid w:val="00B15773"/>
    <w:rsid w:val="00B20D2D"/>
    <w:rsid w:val="00B20DE3"/>
    <w:rsid w:val="00B31094"/>
    <w:rsid w:val="00B313B3"/>
    <w:rsid w:val="00B332F8"/>
    <w:rsid w:val="00B40E48"/>
    <w:rsid w:val="00B41FBD"/>
    <w:rsid w:val="00B44B63"/>
    <w:rsid w:val="00B46AE5"/>
    <w:rsid w:val="00B47211"/>
    <w:rsid w:val="00B477F3"/>
    <w:rsid w:val="00B479A2"/>
    <w:rsid w:val="00B47EE6"/>
    <w:rsid w:val="00B50125"/>
    <w:rsid w:val="00B511B5"/>
    <w:rsid w:val="00B5250C"/>
    <w:rsid w:val="00B54C95"/>
    <w:rsid w:val="00B57186"/>
    <w:rsid w:val="00B60AC5"/>
    <w:rsid w:val="00B61D5E"/>
    <w:rsid w:val="00B6252D"/>
    <w:rsid w:val="00B66F07"/>
    <w:rsid w:val="00B7368D"/>
    <w:rsid w:val="00B744BA"/>
    <w:rsid w:val="00B74DE6"/>
    <w:rsid w:val="00B74E30"/>
    <w:rsid w:val="00B82429"/>
    <w:rsid w:val="00B82C14"/>
    <w:rsid w:val="00B8350B"/>
    <w:rsid w:val="00B83E7A"/>
    <w:rsid w:val="00B851B6"/>
    <w:rsid w:val="00B86553"/>
    <w:rsid w:val="00B9347F"/>
    <w:rsid w:val="00B94DDB"/>
    <w:rsid w:val="00B95CBD"/>
    <w:rsid w:val="00B964E1"/>
    <w:rsid w:val="00BA0493"/>
    <w:rsid w:val="00BA2364"/>
    <w:rsid w:val="00BA23A2"/>
    <w:rsid w:val="00BA33A9"/>
    <w:rsid w:val="00BA4C26"/>
    <w:rsid w:val="00BB5658"/>
    <w:rsid w:val="00BB7BDB"/>
    <w:rsid w:val="00BB7EE0"/>
    <w:rsid w:val="00BC1F99"/>
    <w:rsid w:val="00BC2C36"/>
    <w:rsid w:val="00BC4871"/>
    <w:rsid w:val="00BC4D5D"/>
    <w:rsid w:val="00BC7CD5"/>
    <w:rsid w:val="00BD0FA6"/>
    <w:rsid w:val="00BD25B6"/>
    <w:rsid w:val="00BD5761"/>
    <w:rsid w:val="00BD6D76"/>
    <w:rsid w:val="00BD7BE1"/>
    <w:rsid w:val="00BE1321"/>
    <w:rsid w:val="00BE200A"/>
    <w:rsid w:val="00BF312A"/>
    <w:rsid w:val="00BF4212"/>
    <w:rsid w:val="00C11DF3"/>
    <w:rsid w:val="00C11EC1"/>
    <w:rsid w:val="00C165A1"/>
    <w:rsid w:val="00C22FB5"/>
    <w:rsid w:val="00C23C59"/>
    <w:rsid w:val="00C33173"/>
    <w:rsid w:val="00C35F43"/>
    <w:rsid w:val="00C423BA"/>
    <w:rsid w:val="00C45ACD"/>
    <w:rsid w:val="00C50D1D"/>
    <w:rsid w:val="00C50EB3"/>
    <w:rsid w:val="00C53C69"/>
    <w:rsid w:val="00C54522"/>
    <w:rsid w:val="00C558E6"/>
    <w:rsid w:val="00C56A16"/>
    <w:rsid w:val="00C56F90"/>
    <w:rsid w:val="00C62071"/>
    <w:rsid w:val="00C62A1C"/>
    <w:rsid w:val="00C645D3"/>
    <w:rsid w:val="00C71166"/>
    <w:rsid w:val="00C71788"/>
    <w:rsid w:val="00C73A35"/>
    <w:rsid w:val="00C74BE1"/>
    <w:rsid w:val="00C761FA"/>
    <w:rsid w:val="00C778A3"/>
    <w:rsid w:val="00C7796A"/>
    <w:rsid w:val="00C815BF"/>
    <w:rsid w:val="00C826B3"/>
    <w:rsid w:val="00C934D1"/>
    <w:rsid w:val="00C93CFB"/>
    <w:rsid w:val="00C95622"/>
    <w:rsid w:val="00C96695"/>
    <w:rsid w:val="00CA1E5E"/>
    <w:rsid w:val="00CA35F2"/>
    <w:rsid w:val="00CA4768"/>
    <w:rsid w:val="00CB1B17"/>
    <w:rsid w:val="00CB1D14"/>
    <w:rsid w:val="00CC658E"/>
    <w:rsid w:val="00CC686C"/>
    <w:rsid w:val="00CC738B"/>
    <w:rsid w:val="00CD07B0"/>
    <w:rsid w:val="00CD0F11"/>
    <w:rsid w:val="00CD3D3E"/>
    <w:rsid w:val="00CD5E38"/>
    <w:rsid w:val="00CE011A"/>
    <w:rsid w:val="00CE6621"/>
    <w:rsid w:val="00CE69EB"/>
    <w:rsid w:val="00CE6A29"/>
    <w:rsid w:val="00CE7EBD"/>
    <w:rsid w:val="00CF25EB"/>
    <w:rsid w:val="00CF7D09"/>
    <w:rsid w:val="00D00074"/>
    <w:rsid w:val="00D004DE"/>
    <w:rsid w:val="00D054B6"/>
    <w:rsid w:val="00D11FA3"/>
    <w:rsid w:val="00D175E6"/>
    <w:rsid w:val="00D2387A"/>
    <w:rsid w:val="00D2477F"/>
    <w:rsid w:val="00D32E09"/>
    <w:rsid w:val="00D33903"/>
    <w:rsid w:val="00D33981"/>
    <w:rsid w:val="00D35A63"/>
    <w:rsid w:val="00D3724C"/>
    <w:rsid w:val="00D40B9B"/>
    <w:rsid w:val="00D40ED4"/>
    <w:rsid w:val="00D41C19"/>
    <w:rsid w:val="00D46AD2"/>
    <w:rsid w:val="00D52469"/>
    <w:rsid w:val="00D5598F"/>
    <w:rsid w:val="00D56691"/>
    <w:rsid w:val="00D61D7B"/>
    <w:rsid w:val="00D62543"/>
    <w:rsid w:val="00D629C4"/>
    <w:rsid w:val="00D649E5"/>
    <w:rsid w:val="00D70362"/>
    <w:rsid w:val="00D72A76"/>
    <w:rsid w:val="00D75720"/>
    <w:rsid w:val="00D771DD"/>
    <w:rsid w:val="00D805F6"/>
    <w:rsid w:val="00D81485"/>
    <w:rsid w:val="00D868BD"/>
    <w:rsid w:val="00D93E8A"/>
    <w:rsid w:val="00D95EF5"/>
    <w:rsid w:val="00D96D4D"/>
    <w:rsid w:val="00DA255D"/>
    <w:rsid w:val="00DA46EA"/>
    <w:rsid w:val="00DA473D"/>
    <w:rsid w:val="00DA5311"/>
    <w:rsid w:val="00DA5EE0"/>
    <w:rsid w:val="00DB142F"/>
    <w:rsid w:val="00DB1DD6"/>
    <w:rsid w:val="00DB361F"/>
    <w:rsid w:val="00DB4665"/>
    <w:rsid w:val="00DB54D4"/>
    <w:rsid w:val="00DB5600"/>
    <w:rsid w:val="00DB66CD"/>
    <w:rsid w:val="00DB7DF8"/>
    <w:rsid w:val="00DC16CA"/>
    <w:rsid w:val="00DC5FD4"/>
    <w:rsid w:val="00DC663A"/>
    <w:rsid w:val="00DD0496"/>
    <w:rsid w:val="00DD16EF"/>
    <w:rsid w:val="00DE4196"/>
    <w:rsid w:val="00DE4E0A"/>
    <w:rsid w:val="00DE63D8"/>
    <w:rsid w:val="00DF1F97"/>
    <w:rsid w:val="00DF34EF"/>
    <w:rsid w:val="00DF461B"/>
    <w:rsid w:val="00DF785F"/>
    <w:rsid w:val="00E0374D"/>
    <w:rsid w:val="00E03A0F"/>
    <w:rsid w:val="00E0434C"/>
    <w:rsid w:val="00E059BE"/>
    <w:rsid w:val="00E05C58"/>
    <w:rsid w:val="00E070B4"/>
    <w:rsid w:val="00E14B21"/>
    <w:rsid w:val="00E15AE5"/>
    <w:rsid w:val="00E209E7"/>
    <w:rsid w:val="00E2321E"/>
    <w:rsid w:val="00E30B66"/>
    <w:rsid w:val="00E33171"/>
    <w:rsid w:val="00E36206"/>
    <w:rsid w:val="00E3776E"/>
    <w:rsid w:val="00E37AF0"/>
    <w:rsid w:val="00E54008"/>
    <w:rsid w:val="00E60B6E"/>
    <w:rsid w:val="00E61E33"/>
    <w:rsid w:val="00E626F9"/>
    <w:rsid w:val="00E672FA"/>
    <w:rsid w:val="00E74456"/>
    <w:rsid w:val="00E87BB9"/>
    <w:rsid w:val="00E91361"/>
    <w:rsid w:val="00E93790"/>
    <w:rsid w:val="00E952C0"/>
    <w:rsid w:val="00EA09A7"/>
    <w:rsid w:val="00EA229F"/>
    <w:rsid w:val="00EA5253"/>
    <w:rsid w:val="00EB0239"/>
    <w:rsid w:val="00EB0DCB"/>
    <w:rsid w:val="00EB5698"/>
    <w:rsid w:val="00EB640D"/>
    <w:rsid w:val="00EC272E"/>
    <w:rsid w:val="00EC53CC"/>
    <w:rsid w:val="00EC6822"/>
    <w:rsid w:val="00EC7CC1"/>
    <w:rsid w:val="00ED450A"/>
    <w:rsid w:val="00ED51FD"/>
    <w:rsid w:val="00EE4B26"/>
    <w:rsid w:val="00EE50D3"/>
    <w:rsid w:val="00EE6FB0"/>
    <w:rsid w:val="00EE719A"/>
    <w:rsid w:val="00EF1FD9"/>
    <w:rsid w:val="00EF7700"/>
    <w:rsid w:val="00EF7D65"/>
    <w:rsid w:val="00F028F2"/>
    <w:rsid w:val="00F03B5D"/>
    <w:rsid w:val="00F06FCC"/>
    <w:rsid w:val="00F07AB9"/>
    <w:rsid w:val="00F11682"/>
    <w:rsid w:val="00F155FF"/>
    <w:rsid w:val="00F15A69"/>
    <w:rsid w:val="00F15DD7"/>
    <w:rsid w:val="00F243EE"/>
    <w:rsid w:val="00F30D73"/>
    <w:rsid w:val="00F32D45"/>
    <w:rsid w:val="00F40CE1"/>
    <w:rsid w:val="00F419E7"/>
    <w:rsid w:val="00F46D86"/>
    <w:rsid w:val="00F476D5"/>
    <w:rsid w:val="00F5045C"/>
    <w:rsid w:val="00F5092F"/>
    <w:rsid w:val="00F52093"/>
    <w:rsid w:val="00F53286"/>
    <w:rsid w:val="00F6182F"/>
    <w:rsid w:val="00F626E3"/>
    <w:rsid w:val="00F62E96"/>
    <w:rsid w:val="00F66E69"/>
    <w:rsid w:val="00F753A8"/>
    <w:rsid w:val="00F76D1C"/>
    <w:rsid w:val="00F7735B"/>
    <w:rsid w:val="00F830A4"/>
    <w:rsid w:val="00F8738A"/>
    <w:rsid w:val="00F923B8"/>
    <w:rsid w:val="00FA3477"/>
    <w:rsid w:val="00FA422E"/>
    <w:rsid w:val="00FA65AC"/>
    <w:rsid w:val="00FA72B1"/>
    <w:rsid w:val="00FB26B3"/>
    <w:rsid w:val="00FB501D"/>
    <w:rsid w:val="00FB78CF"/>
    <w:rsid w:val="00FB7965"/>
    <w:rsid w:val="00FC059C"/>
    <w:rsid w:val="00FC10F7"/>
    <w:rsid w:val="00FC15E2"/>
    <w:rsid w:val="00FC21FA"/>
    <w:rsid w:val="00FC6A7B"/>
    <w:rsid w:val="00FD07BB"/>
    <w:rsid w:val="00FD43CE"/>
    <w:rsid w:val="00FD5C43"/>
    <w:rsid w:val="00FD5FA9"/>
    <w:rsid w:val="00FE21C0"/>
    <w:rsid w:val="00FE5447"/>
    <w:rsid w:val="00FE735B"/>
    <w:rsid w:val="00FF19E5"/>
    <w:rsid w:val="00FF2D68"/>
    <w:rsid w:val="00FF7EB1"/>
    <w:rsid w:val="00FF7ECD"/>
    <w:rsid w:val="01011DD0"/>
    <w:rsid w:val="01090E81"/>
    <w:rsid w:val="016632F3"/>
    <w:rsid w:val="017716D4"/>
    <w:rsid w:val="018508E6"/>
    <w:rsid w:val="01886CB3"/>
    <w:rsid w:val="019D115B"/>
    <w:rsid w:val="01B80B7A"/>
    <w:rsid w:val="01C65812"/>
    <w:rsid w:val="01C81F50"/>
    <w:rsid w:val="01D37F67"/>
    <w:rsid w:val="01EA38CD"/>
    <w:rsid w:val="021F28ED"/>
    <w:rsid w:val="0293255D"/>
    <w:rsid w:val="02954528"/>
    <w:rsid w:val="029A25B2"/>
    <w:rsid w:val="029E617E"/>
    <w:rsid w:val="02A46519"/>
    <w:rsid w:val="02A832D8"/>
    <w:rsid w:val="02C32E43"/>
    <w:rsid w:val="02E132C9"/>
    <w:rsid w:val="02FE5FA0"/>
    <w:rsid w:val="033B6857"/>
    <w:rsid w:val="03724D07"/>
    <w:rsid w:val="03BF6974"/>
    <w:rsid w:val="03E5503B"/>
    <w:rsid w:val="03EB6116"/>
    <w:rsid w:val="04640B95"/>
    <w:rsid w:val="04723142"/>
    <w:rsid w:val="04954AC7"/>
    <w:rsid w:val="04C335CE"/>
    <w:rsid w:val="04F420D8"/>
    <w:rsid w:val="05375C27"/>
    <w:rsid w:val="055C2DA9"/>
    <w:rsid w:val="056573C5"/>
    <w:rsid w:val="05C3315A"/>
    <w:rsid w:val="05E55CAD"/>
    <w:rsid w:val="060E52DD"/>
    <w:rsid w:val="068943A3"/>
    <w:rsid w:val="06C158EB"/>
    <w:rsid w:val="06E93094"/>
    <w:rsid w:val="070659F4"/>
    <w:rsid w:val="07BA2FD7"/>
    <w:rsid w:val="07DB29DD"/>
    <w:rsid w:val="0809558F"/>
    <w:rsid w:val="084A7A37"/>
    <w:rsid w:val="08D54AB2"/>
    <w:rsid w:val="09017C49"/>
    <w:rsid w:val="09150BC4"/>
    <w:rsid w:val="092A594A"/>
    <w:rsid w:val="09B36723"/>
    <w:rsid w:val="09CF0243"/>
    <w:rsid w:val="0A1F3610"/>
    <w:rsid w:val="0A8D19AF"/>
    <w:rsid w:val="0AB74F0C"/>
    <w:rsid w:val="0ABE5DF5"/>
    <w:rsid w:val="0ACE4A7B"/>
    <w:rsid w:val="0AEE6ECB"/>
    <w:rsid w:val="0B3D2557"/>
    <w:rsid w:val="0B445AF1"/>
    <w:rsid w:val="0B460AB5"/>
    <w:rsid w:val="0BA0691F"/>
    <w:rsid w:val="0BAD0F04"/>
    <w:rsid w:val="0BD747C8"/>
    <w:rsid w:val="0BD80385"/>
    <w:rsid w:val="0C1A3AF6"/>
    <w:rsid w:val="0C287643"/>
    <w:rsid w:val="0CAB3567"/>
    <w:rsid w:val="0CBE41FB"/>
    <w:rsid w:val="0CE41237"/>
    <w:rsid w:val="0CE74614"/>
    <w:rsid w:val="0D100A20"/>
    <w:rsid w:val="0D2249AB"/>
    <w:rsid w:val="0D336E17"/>
    <w:rsid w:val="0D6C4AE4"/>
    <w:rsid w:val="0DE85E53"/>
    <w:rsid w:val="0E9D3C48"/>
    <w:rsid w:val="0EB21FBD"/>
    <w:rsid w:val="0EEF4FBF"/>
    <w:rsid w:val="0F0F2125"/>
    <w:rsid w:val="0F117D8C"/>
    <w:rsid w:val="0F917E25"/>
    <w:rsid w:val="0FBF2BE4"/>
    <w:rsid w:val="0FEB5C97"/>
    <w:rsid w:val="0FFF56D6"/>
    <w:rsid w:val="102B0279"/>
    <w:rsid w:val="10792DD3"/>
    <w:rsid w:val="108D322A"/>
    <w:rsid w:val="10EE1C9A"/>
    <w:rsid w:val="112B6F5F"/>
    <w:rsid w:val="1144478F"/>
    <w:rsid w:val="11475FBE"/>
    <w:rsid w:val="114A2981"/>
    <w:rsid w:val="116067D2"/>
    <w:rsid w:val="11A976A8"/>
    <w:rsid w:val="11D66ECE"/>
    <w:rsid w:val="11E9219A"/>
    <w:rsid w:val="121C256F"/>
    <w:rsid w:val="12265CC3"/>
    <w:rsid w:val="12292343"/>
    <w:rsid w:val="123B7312"/>
    <w:rsid w:val="125A4E46"/>
    <w:rsid w:val="125C6EB1"/>
    <w:rsid w:val="12897DB3"/>
    <w:rsid w:val="129F3001"/>
    <w:rsid w:val="12A10CC7"/>
    <w:rsid w:val="12A87B78"/>
    <w:rsid w:val="12ED1816"/>
    <w:rsid w:val="130B7EEE"/>
    <w:rsid w:val="13581678"/>
    <w:rsid w:val="135917A1"/>
    <w:rsid w:val="138C5379"/>
    <w:rsid w:val="13942EFE"/>
    <w:rsid w:val="13ED078A"/>
    <w:rsid w:val="13FC21E6"/>
    <w:rsid w:val="14101CF5"/>
    <w:rsid w:val="141C6EE4"/>
    <w:rsid w:val="143F0797"/>
    <w:rsid w:val="14423DE3"/>
    <w:rsid w:val="145B3D7A"/>
    <w:rsid w:val="146E4BD8"/>
    <w:rsid w:val="14CA60B2"/>
    <w:rsid w:val="14DE1723"/>
    <w:rsid w:val="14ED1004"/>
    <w:rsid w:val="15125EE8"/>
    <w:rsid w:val="151C6BE2"/>
    <w:rsid w:val="15451DDD"/>
    <w:rsid w:val="15714980"/>
    <w:rsid w:val="158741A4"/>
    <w:rsid w:val="15B42ABF"/>
    <w:rsid w:val="15D45D02"/>
    <w:rsid w:val="16430362"/>
    <w:rsid w:val="167F08AD"/>
    <w:rsid w:val="16AF320B"/>
    <w:rsid w:val="16E64EFA"/>
    <w:rsid w:val="16E87E0E"/>
    <w:rsid w:val="170232F4"/>
    <w:rsid w:val="17411EC0"/>
    <w:rsid w:val="17EE6C27"/>
    <w:rsid w:val="182F0189"/>
    <w:rsid w:val="186F04A3"/>
    <w:rsid w:val="18861106"/>
    <w:rsid w:val="1888635B"/>
    <w:rsid w:val="188D2D8D"/>
    <w:rsid w:val="18905BFC"/>
    <w:rsid w:val="18A60DE5"/>
    <w:rsid w:val="18AC1B3D"/>
    <w:rsid w:val="191E2774"/>
    <w:rsid w:val="198253AE"/>
    <w:rsid w:val="198257AC"/>
    <w:rsid w:val="19AC0C6F"/>
    <w:rsid w:val="19B11544"/>
    <w:rsid w:val="19F0407C"/>
    <w:rsid w:val="1A070E05"/>
    <w:rsid w:val="1A2A22CC"/>
    <w:rsid w:val="1A5959E3"/>
    <w:rsid w:val="1AB552E5"/>
    <w:rsid w:val="1AC54AF6"/>
    <w:rsid w:val="1AE772B1"/>
    <w:rsid w:val="1B610FF3"/>
    <w:rsid w:val="1B8B69A1"/>
    <w:rsid w:val="1BF26FB2"/>
    <w:rsid w:val="1BFB4C41"/>
    <w:rsid w:val="1C0A13F1"/>
    <w:rsid w:val="1C2A7EFE"/>
    <w:rsid w:val="1C677EF8"/>
    <w:rsid w:val="1C6E2845"/>
    <w:rsid w:val="1C8A5EA6"/>
    <w:rsid w:val="1C957FB9"/>
    <w:rsid w:val="1CA25941"/>
    <w:rsid w:val="1CA90E45"/>
    <w:rsid w:val="1CAD0365"/>
    <w:rsid w:val="1CBA09BB"/>
    <w:rsid w:val="1CC25AC1"/>
    <w:rsid w:val="1CC50941"/>
    <w:rsid w:val="1CCA4D26"/>
    <w:rsid w:val="1D057D83"/>
    <w:rsid w:val="1D0B577E"/>
    <w:rsid w:val="1D2877C9"/>
    <w:rsid w:val="1DD513B9"/>
    <w:rsid w:val="1DEE4E27"/>
    <w:rsid w:val="1DF4290F"/>
    <w:rsid w:val="1E0D5153"/>
    <w:rsid w:val="1E3D7AF5"/>
    <w:rsid w:val="1EB16351"/>
    <w:rsid w:val="1EE31469"/>
    <w:rsid w:val="1EEC667F"/>
    <w:rsid w:val="1F332069"/>
    <w:rsid w:val="1F6F06D3"/>
    <w:rsid w:val="1F94072A"/>
    <w:rsid w:val="1FF02946"/>
    <w:rsid w:val="20521F77"/>
    <w:rsid w:val="205E6B11"/>
    <w:rsid w:val="207D408F"/>
    <w:rsid w:val="208B2A2D"/>
    <w:rsid w:val="20900CFF"/>
    <w:rsid w:val="20995013"/>
    <w:rsid w:val="20D6386A"/>
    <w:rsid w:val="20E24984"/>
    <w:rsid w:val="21236915"/>
    <w:rsid w:val="212C3E51"/>
    <w:rsid w:val="219762C8"/>
    <w:rsid w:val="2197751D"/>
    <w:rsid w:val="21BD53AF"/>
    <w:rsid w:val="21BF0821"/>
    <w:rsid w:val="21D536EF"/>
    <w:rsid w:val="21FA7AAB"/>
    <w:rsid w:val="22364F87"/>
    <w:rsid w:val="228C2DF9"/>
    <w:rsid w:val="228F7A5B"/>
    <w:rsid w:val="229E48DB"/>
    <w:rsid w:val="22C00CF5"/>
    <w:rsid w:val="22C906A3"/>
    <w:rsid w:val="22E04EF3"/>
    <w:rsid w:val="238F3999"/>
    <w:rsid w:val="23BC461D"/>
    <w:rsid w:val="23E66088"/>
    <w:rsid w:val="24101932"/>
    <w:rsid w:val="242729A8"/>
    <w:rsid w:val="244427D2"/>
    <w:rsid w:val="244B0A92"/>
    <w:rsid w:val="245722DE"/>
    <w:rsid w:val="24806951"/>
    <w:rsid w:val="24990BC4"/>
    <w:rsid w:val="24E44224"/>
    <w:rsid w:val="24F9182F"/>
    <w:rsid w:val="25C428AA"/>
    <w:rsid w:val="25C44658"/>
    <w:rsid w:val="25CA0BDB"/>
    <w:rsid w:val="25D156A6"/>
    <w:rsid w:val="25EB6089"/>
    <w:rsid w:val="25FB499F"/>
    <w:rsid w:val="26054A26"/>
    <w:rsid w:val="26082331"/>
    <w:rsid w:val="261A3CC9"/>
    <w:rsid w:val="261E020C"/>
    <w:rsid w:val="26333B62"/>
    <w:rsid w:val="266B541C"/>
    <w:rsid w:val="26867B60"/>
    <w:rsid w:val="26C27CB3"/>
    <w:rsid w:val="26C568DA"/>
    <w:rsid w:val="271A01E4"/>
    <w:rsid w:val="276674B4"/>
    <w:rsid w:val="276A7B33"/>
    <w:rsid w:val="27861707"/>
    <w:rsid w:val="27C16C4D"/>
    <w:rsid w:val="27ED65C3"/>
    <w:rsid w:val="28331471"/>
    <w:rsid w:val="285539BA"/>
    <w:rsid w:val="28557CB9"/>
    <w:rsid w:val="2857471E"/>
    <w:rsid w:val="288A4FC5"/>
    <w:rsid w:val="28A569C3"/>
    <w:rsid w:val="293F23E5"/>
    <w:rsid w:val="29534671"/>
    <w:rsid w:val="295403E9"/>
    <w:rsid w:val="29C44D36"/>
    <w:rsid w:val="29DF6BF2"/>
    <w:rsid w:val="2A6603D4"/>
    <w:rsid w:val="2AA35E3D"/>
    <w:rsid w:val="2AC844A0"/>
    <w:rsid w:val="2B134FBA"/>
    <w:rsid w:val="2B2F5649"/>
    <w:rsid w:val="2B3F2522"/>
    <w:rsid w:val="2B8E3F62"/>
    <w:rsid w:val="2BC37160"/>
    <w:rsid w:val="2C131E96"/>
    <w:rsid w:val="2C210A56"/>
    <w:rsid w:val="2C4322FA"/>
    <w:rsid w:val="2C950C85"/>
    <w:rsid w:val="2C966533"/>
    <w:rsid w:val="2CA3146B"/>
    <w:rsid w:val="2CAF15C3"/>
    <w:rsid w:val="2D10656A"/>
    <w:rsid w:val="2D11264B"/>
    <w:rsid w:val="2D1C121E"/>
    <w:rsid w:val="2D2A56E9"/>
    <w:rsid w:val="2D4F0A6F"/>
    <w:rsid w:val="2D936B9E"/>
    <w:rsid w:val="2D9F12DE"/>
    <w:rsid w:val="2DAC1506"/>
    <w:rsid w:val="2DFE26D1"/>
    <w:rsid w:val="2E1E5030"/>
    <w:rsid w:val="2E4C08C7"/>
    <w:rsid w:val="2E4C7F9F"/>
    <w:rsid w:val="2E5642BC"/>
    <w:rsid w:val="2E6814D0"/>
    <w:rsid w:val="2E7E0CEA"/>
    <w:rsid w:val="2EA85B28"/>
    <w:rsid w:val="2EBE4B83"/>
    <w:rsid w:val="2ED036AC"/>
    <w:rsid w:val="2ED7699F"/>
    <w:rsid w:val="2EF64910"/>
    <w:rsid w:val="2F0B2200"/>
    <w:rsid w:val="2F431B9D"/>
    <w:rsid w:val="2F5205BB"/>
    <w:rsid w:val="2F5C6773"/>
    <w:rsid w:val="2F8331C7"/>
    <w:rsid w:val="303461F3"/>
    <w:rsid w:val="30607673"/>
    <w:rsid w:val="306326B1"/>
    <w:rsid w:val="3065119A"/>
    <w:rsid w:val="308415B4"/>
    <w:rsid w:val="30864DA3"/>
    <w:rsid w:val="3115045E"/>
    <w:rsid w:val="311811AC"/>
    <w:rsid w:val="31181CFC"/>
    <w:rsid w:val="3122279A"/>
    <w:rsid w:val="314D79CD"/>
    <w:rsid w:val="319171E2"/>
    <w:rsid w:val="32187E96"/>
    <w:rsid w:val="3252156E"/>
    <w:rsid w:val="32B265F8"/>
    <w:rsid w:val="32D96B0C"/>
    <w:rsid w:val="33206947"/>
    <w:rsid w:val="3399668B"/>
    <w:rsid w:val="339B5FC8"/>
    <w:rsid w:val="33D4015C"/>
    <w:rsid w:val="33F84003"/>
    <w:rsid w:val="3400099C"/>
    <w:rsid w:val="34605E94"/>
    <w:rsid w:val="348E42DF"/>
    <w:rsid w:val="34A57D4B"/>
    <w:rsid w:val="35284C04"/>
    <w:rsid w:val="353D168E"/>
    <w:rsid w:val="35483569"/>
    <w:rsid w:val="35496928"/>
    <w:rsid w:val="357B62EF"/>
    <w:rsid w:val="35A85D44"/>
    <w:rsid w:val="35C56116"/>
    <w:rsid w:val="35DF6977"/>
    <w:rsid w:val="35E271A2"/>
    <w:rsid w:val="35EE1A6E"/>
    <w:rsid w:val="3610773F"/>
    <w:rsid w:val="363D0DFB"/>
    <w:rsid w:val="364315C9"/>
    <w:rsid w:val="36681030"/>
    <w:rsid w:val="36723436"/>
    <w:rsid w:val="368045CB"/>
    <w:rsid w:val="369770D2"/>
    <w:rsid w:val="36E208FE"/>
    <w:rsid w:val="36EA7C97"/>
    <w:rsid w:val="373B04F2"/>
    <w:rsid w:val="376B702A"/>
    <w:rsid w:val="37A074AF"/>
    <w:rsid w:val="37F0752F"/>
    <w:rsid w:val="37FD0879"/>
    <w:rsid w:val="38016484"/>
    <w:rsid w:val="380827C0"/>
    <w:rsid w:val="388A02AF"/>
    <w:rsid w:val="388D7071"/>
    <w:rsid w:val="38953702"/>
    <w:rsid w:val="38A01CD8"/>
    <w:rsid w:val="38B92017"/>
    <w:rsid w:val="38D30D48"/>
    <w:rsid w:val="3946634B"/>
    <w:rsid w:val="394E35A3"/>
    <w:rsid w:val="3965481E"/>
    <w:rsid w:val="39956ECE"/>
    <w:rsid w:val="39974106"/>
    <w:rsid w:val="39A3297E"/>
    <w:rsid w:val="3A4B6C9E"/>
    <w:rsid w:val="3A547234"/>
    <w:rsid w:val="3A8A3C6B"/>
    <w:rsid w:val="3AC37FE7"/>
    <w:rsid w:val="3AE63920"/>
    <w:rsid w:val="3AEE39B9"/>
    <w:rsid w:val="3B392F9B"/>
    <w:rsid w:val="3B3A25C6"/>
    <w:rsid w:val="3B6F4C0F"/>
    <w:rsid w:val="3BA71D85"/>
    <w:rsid w:val="3BCC5C1D"/>
    <w:rsid w:val="3BEA73C6"/>
    <w:rsid w:val="3C1557B6"/>
    <w:rsid w:val="3C3976F6"/>
    <w:rsid w:val="3C4165AB"/>
    <w:rsid w:val="3C5015BC"/>
    <w:rsid w:val="3C74072E"/>
    <w:rsid w:val="3C861183"/>
    <w:rsid w:val="3CCC594F"/>
    <w:rsid w:val="3CE8111C"/>
    <w:rsid w:val="3D532026"/>
    <w:rsid w:val="3D7A7FC6"/>
    <w:rsid w:val="3D7F38B1"/>
    <w:rsid w:val="3D864B24"/>
    <w:rsid w:val="3D8726E3"/>
    <w:rsid w:val="3D8C1AA8"/>
    <w:rsid w:val="3DCD091F"/>
    <w:rsid w:val="3DE8401A"/>
    <w:rsid w:val="3E0E070F"/>
    <w:rsid w:val="3E4F5CFD"/>
    <w:rsid w:val="3E587BDC"/>
    <w:rsid w:val="3E5C591E"/>
    <w:rsid w:val="3EFB33DB"/>
    <w:rsid w:val="3F255D10"/>
    <w:rsid w:val="3F6E26F1"/>
    <w:rsid w:val="3F83115D"/>
    <w:rsid w:val="3F9108BE"/>
    <w:rsid w:val="3FF102E8"/>
    <w:rsid w:val="401B09E7"/>
    <w:rsid w:val="40263925"/>
    <w:rsid w:val="402F5985"/>
    <w:rsid w:val="405278E9"/>
    <w:rsid w:val="406B0566"/>
    <w:rsid w:val="406C2494"/>
    <w:rsid w:val="4090789A"/>
    <w:rsid w:val="40A64054"/>
    <w:rsid w:val="40D76906"/>
    <w:rsid w:val="40DF06FA"/>
    <w:rsid w:val="41010A60"/>
    <w:rsid w:val="410549AE"/>
    <w:rsid w:val="41113185"/>
    <w:rsid w:val="41154544"/>
    <w:rsid w:val="4125649B"/>
    <w:rsid w:val="417268CC"/>
    <w:rsid w:val="41792343"/>
    <w:rsid w:val="41B33AA7"/>
    <w:rsid w:val="41CC1259"/>
    <w:rsid w:val="41CE2FC4"/>
    <w:rsid w:val="41FD4D22"/>
    <w:rsid w:val="423564A0"/>
    <w:rsid w:val="423917CE"/>
    <w:rsid w:val="425132C0"/>
    <w:rsid w:val="42784F4E"/>
    <w:rsid w:val="427A4592"/>
    <w:rsid w:val="427D5E63"/>
    <w:rsid w:val="429A5270"/>
    <w:rsid w:val="42A24A2E"/>
    <w:rsid w:val="42A809E5"/>
    <w:rsid w:val="42F26851"/>
    <w:rsid w:val="433429C6"/>
    <w:rsid w:val="43393F27"/>
    <w:rsid w:val="43585413"/>
    <w:rsid w:val="43593FDA"/>
    <w:rsid w:val="43B14BBF"/>
    <w:rsid w:val="43CD12C3"/>
    <w:rsid w:val="43DF3E74"/>
    <w:rsid w:val="43E63EA7"/>
    <w:rsid w:val="43EB7267"/>
    <w:rsid w:val="444906F3"/>
    <w:rsid w:val="44635CDA"/>
    <w:rsid w:val="4469669F"/>
    <w:rsid w:val="4484172B"/>
    <w:rsid w:val="449178CF"/>
    <w:rsid w:val="44A02CBB"/>
    <w:rsid w:val="44D97CC8"/>
    <w:rsid w:val="44DC3F94"/>
    <w:rsid w:val="44F7014F"/>
    <w:rsid w:val="44F71EFD"/>
    <w:rsid w:val="450005CA"/>
    <w:rsid w:val="45324399"/>
    <w:rsid w:val="45390A41"/>
    <w:rsid w:val="4557299B"/>
    <w:rsid w:val="4566573D"/>
    <w:rsid w:val="458D58EA"/>
    <w:rsid w:val="4599371D"/>
    <w:rsid w:val="45BD3146"/>
    <w:rsid w:val="45C14DA3"/>
    <w:rsid w:val="45E312B1"/>
    <w:rsid w:val="460F70C6"/>
    <w:rsid w:val="46301EFE"/>
    <w:rsid w:val="463B0D82"/>
    <w:rsid w:val="4643732E"/>
    <w:rsid w:val="465846D8"/>
    <w:rsid w:val="469376C7"/>
    <w:rsid w:val="46B5206F"/>
    <w:rsid w:val="46E12BA9"/>
    <w:rsid w:val="46EA53FC"/>
    <w:rsid w:val="46F7248A"/>
    <w:rsid w:val="47177A56"/>
    <w:rsid w:val="47483766"/>
    <w:rsid w:val="47642414"/>
    <w:rsid w:val="47796723"/>
    <w:rsid w:val="4783216D"/>
    <w:rsid w:val="47956C57"/>
    <w:rsid w:val="4799729B"/>
    <w:rsid w:val="479E6FA7"/>
    <w:rsid w:val="47BE5824"/>
    <w:rsid w:val="480679DF"/>
    <w:rsid w:val="48187F2B"/>
    <w:rsid w:val="48683DE0"/>
    <w:rsid w:val="488241D3"/>
    <w:rsid w:val="48970FFB"/>
    <w:rsid w:val="48AA4D31"/>
    <w:rsid w:val="48AB7F83"/>
    <w:rsid w:val="48B43E53"/>
    <w:rsid w:val="48D27A93"/>
    <w:rsid w:val="48D657DB"/>
    <w:rsid w:val="48F22C0E"/>
    <w:rsid w:val="492434DC"/>
    <w:rsid w:val="492A2D2F"/>
    <w:rsid w:val="49550CB0"/>
    <w:rsid w:val="49CD147E"/>
    <w:rsid w:val="49F41101"/>
    <w:rsid w:val="4A3F789F"/>
    <w:rsid w:val="4A526881"/>
    <w:rsid w:val="4A984540"/>
    <w:rsid w:val="4B597742"/>
    <w:rsid w:val="4BBC5C4E"/>
    <w:rsid w:val="4BD432FE"/>
    <w:rsid w:val="4BFF5B3B"/>
    <w:rsid w:val="4C023CCB"/>
    <w:rsid w:val="4C8C3872"/>
    <w:rsid w:val="4C910E89"/>
    <w:rsid w:val="4CAA5AA7"/>
    <w:rsid w:val="4CC1570F"/>
    <w:rsid w:val="4CDE618C"/>
    <w:rsid w:val="4D100A91"/>
    <w:rsid w:val="4D2F4CAD"/>
    <w:rsid w:val="4D5F21A9"/>
    <w:rsid w:val="4D671BE9"/>
    <w:rsid w:val="4D677CCC"/>
    <w:rsid w:val="4D8269ED"/>
    <w:rsid w:val="4D960E3B"/>
    <w:rsid w:val="4DC960ED"/>
    <w:rsid w:val="4DD97B58"/>
    <w:rsid w:val="4DEB45C9"/>
    <w:rsid w:val="4E3C6D19"/>
    <w:rsid w:val="4E3F60E8"/>
    <w:rsid w:val="4E941503"/>
    <w:rsid w:val="4ED056C5"/>
    <w:rsid w:val="4EE01C53"/>
    <w:rsid w:val="4F512B51"/>
    <w:rsid w:val="4F7B372A"/>
    <w:rsid w:val="4F8E345D"/>
    <w:rsid w:val="4FB71212"/>
    <w:rsid w:val="4FD77137"/>
    <w:rsid w:val="4FDD43E5"/>
    <w:rsid w:val="504F67A3"/>
    <w:rsid w:val="509C1BAA"/>
    <w:rsid w:val="50BB4A44"/>
    <w:rsid w:val="50D81458"/>
    <w:rsid w:val="51036853"/>
    <w:rsid w:val="51103672"/>
    <w:rsid w:val="512F0C70"/>
    <w:rsid w:val="51795C17"/>
    <w:rsid w:val="51DC1B70"/>
    <w:rsid w:val="51EE6435"/>
    <w:rsid w:val="52232583"/>
    <w:rsid w:val="523474B8"/>
    <w:rsid w:val="527E34D2"/>
    <w:rsid w:val="527F1783"/>
    <w:rsid w:val="529E5DE0"/>
    <w:rsid w:val="52DB2E5E"/>
    <w:rsid w:val="52E964BA"/>
    <w:rsid w:val="52F771EF"/>
    <w:rsid w:val="530379AC"/>
    <w:rsid w:val="5325057D"/>
    <w:rsid w:val="533271C9"/>
    <w:rsid w:val="53361B5E"/>
    <w:rsid w:val="537B63EF"/>
    <w:rsid w:val="53814A0C"/>
    <w:rsid w:val="53B35B89"/>
    <w:rsid w:val="53FF0DCE"/>
    <w:rsid w:val="54324CFF"/>
    <w:rsid w:val="54A454D1"/>
    <w:rsid w:val="54B61BFF"/>
    <w:rsid w:val="552B5098"/>
    <w:rsid w:val="55451276"/>
    <w:rsid w:val="556B74CF"/>
    <w:rsid w:val="5652213C"/>
    <w:rsid w:val="5695142C"/>
    <w:rsid w:val="56B70F6F"/>
    <w:rsid w:val="56C935A0"/>
    <w:rsid w:val="56CA56C3"/>
    <w:rsid w:val="56DF6C95"/>
    <w:rsid w:val="56FF6C24"/>
    <w:rsid w:val="570D2F8F"/>
    <w:rsid w:val="578464AF"/>
    <w:rsid w:val="57C6730E"/>
    <w:rsid w:val="57C86E91"/>
    <w:rsid w:val="57FB524B"/>
    <w:rsid w:val="57FB7AFE"/>
    <w:rsid w:val="584E7C2E"/>
    <w:rsid w:val="58782EFD"/>
    <w:rsid w:val="58931AE5"/>
    <w:rsid w:val="589D0BB5"/>
    <w:rsid w:val="58C94428"/>
    <w:rsid w:val="5908074F"/>
    <w:rsid w:val="59246266"/>
    <w:rsid w:val="59260838"/>
    <w:rsid w:val="598D44C7"/>
    <w:rsid w:val="598D73B3"/>
    <w:rsid w:val="59A74E77"/>
    <w:rsid w:val="59D46859"/>
    <w:rsid w:val="59E52814"/>
    <w:rsid w:val="5A66067F"/>
    <w:rsid w:val="5A801A1F"/>
    <w:rsid w:val="5A8E4EF3"/>
    <w:rsid w:val="5A952F5C"/>
    <w:rsid w:val="5ADA1C4D"/>
    <w:rsid w:val="5B3E042E"/>
    <w:rsid w:val="5B3F1217"/>
    <w:rsid w:val="5B4E797D"/>
    <w:rsid w:val="5C257490"/>
    <w:rsid w:val="5C2E5AC1"/>
    <w:rsid w:val="5C390BF5"/>
    <w:rsid w:val="5C3E286B"/>
    <w:rsid w:val="5C537F09"/>
    <w:rsid w:val="5C5F45F8"/>
    <w:rsid w:val="5CE96177"/>
    <w:rsid w:val="5D5E70AB"/>
    <w:rsid w:val="5D7F0889"/>
    <w:rsid w:val="5D8B22B4"/>
    <w:rsid w:val="5DD106E8"/>
    <w:rsid w:val="5DD84D9F"/>
    <w:rsid w:val="5DE34085"/>
    <w:rsid w:val="5DED5A32"/>
    <w:rsid w:val="5E4C3F79"/>
    <w:rsid w:val="5E4E2D0E"/>
    <w:rsid w:val="5E597FA8"/>
    <w:rsid w:val="5E61402F"/>
    <w:rsid w:val="5E756DD9"/>
    <w:rsid w:val="5E762FE5"/>
    <w:rsid w:val="5E9A1CC4"/>
    <w:rsid w:val="5EBD78BB"/>
    <w:rsid w:val="5F117C07"/>
    <w:rsid w:val="5F3925BF"/>
    <w:rsid w:val="5F4F783F"/>
    <w:rsid w:val="5F577D10"/>
    <w:rsid w:val="5FA47287"/>
    <w:rsid w:val="5FB741F8"/>
    <w:rsid w:val="5FE17D61"/>
    <w:rsid w:val="60100716"/>
    <w:rsid w:val="603405AA"/>
    <w:rsid w:val="60722B2A"/>
    <w:rsid w:val="60895096"/>
    <w:rsid w:val="60B23827"/>
    <w:rsid w:val="60C767CF"/>
    <w:rsid w:val="613B1492"/>
    <w:rsid w:val="61BE5E24"/>
    <w:rsid w:val="61BF7DEE"/>
    <w:rsid w:val="61E35EF6"/>
    <w:rsid w:val="61E8454F"/>
    <w:rsid w:val="62694142"/>
    <w:rsid w:val="627666FF"/>
    <w:rsid w:val="628F759F"/>
    <w:rsid w:val="62A0377C"/>
    <w:rsid w:val="62B97F8E"/>
    <w:rsid w:val="62F5175D"/>
    <w:rsid w:val="634044BC"/>
    <w:rsid w:val="63834E81"/>
    <w:rsid w:val="63997822"/>
    <w:rsid w:val="63C85ECF"/>
    <w:rsid w:val="63E404DD"/>
    <w:rsid w:val="63FC5AE3"/>
    <w:rsid w:val="64231D73"/>
    <w:rsid w:val="644559D2"/>
    <w:rsid w:val="648D254B"/>
    <w:rsid w:val="64FA581A"/>
    <w:rsid w:val="64FC4F35"/>
    <w:rsid w:val="65142E87"/>
    <w:rsid w:val="65300E45"/>
    <w:rsid w:val="656C7075"/>
    <w:rsid w:val="65BF04C3"/>
    <w:rsid w:val="65D10123"/>
    <w:rsid w:val="65D62EBA"/>
    <w:rsid w:val="66550706"/>
    <w:rsid w:val="668533B4"/>
    <w:rsid w:val="66966EA2"/>
    <w:rsid w:val="66A56F0A"/>
    <w:rsid w:val="66BD033C"/>
    <w:rsid w:val="66FA3298"/>
    <w:rsid w:val="67206904"/>
    <w:rsid w:val="67345B53"/>
    <w:rsid w:val="67915FA3"/>
    <w:rsid w:val="67A535E2"/>
    <w:rsid w:val="67F26A6E"/>
    <w:rsid w:val="684F3C7A"/>
    <w:rsid w:val="685E210F"/>
    <w:rsid w:val="6895121E"/>
    <w:rsid w:val="68B170B1"/>
    <w:rsid w:val="68BB258E"/>
    <w:rsid w:val="68DD3828"/>
    <w:rsid w:val="68E02B24"/>
    <w:rsid w:val="69036813"/>
    <w:rsid w:val="69596D81"/>
    <w:rsid w:val="69825989"/>
    <w:rsid w:val="69884B3C"/>
    <w:rsid w:val="69AA3461"/>
    <w:rsid w:val="69B94D8E"/>
    <w:rsid w:val="69D00DEB"/>
    <w:rsid w:val="69DC0B8D"/>
    <w:rsid w:val="69E361D8"/>
    <w:rsid w:val="69F76A65"/>
    <w:rsid w:val="6A052110"/>
    <w:rsid w:val="6A8573D9"/>
    <w:rsid w:val="6AC951B0"/>
    <w:rsid w:val="6B002E97"/>
    <w:rsid w:val="6B4D004B"/>
    <w:rsid w:val="6B633598"/>
    <w:rsid w:val="6B851761"/>
    <w:rsid w:val="6B9034F1"/>
    <w:rsid w:val="6BA37879"/>
    <w:rsid w:val="6C0D6031"/>
    <w:rsid w:val="6C136D6D"/>
    <w:rsid w:val="6C3A254B"/>
    <w:rsid w:val="6C6B6BA9"/>
    <w:rsid w:val="6C8030F0"/>
    <w:rsid w:val="6CA703DD"/>
    <w:rsid w:val="6CC87B57"/>
    <w:rsid w:val="6CDB0B1A"/>
    <w:rsid w:val="6D286848"/>
    <w:rsid w:val="6D2D3E5E"/>
    <w:rsid w:val="6D7F674C"/>
    <w:rsid w:val="6DA700B4"/>
    <w:rsid w:val="6DC81DD9"/>
    <w:rsid w:val="6DE332F7"/>
    <w:rsid w:val="6DEF74BB"/>
    <w:rsid w:val="6E276AFF"/>
    <w:rsid w:val="6E3722BA"/>
    <w:rsid w:val="6E37471C"/>
    <w:rsid w:val="6ED053E9"/>
    <w:rsid w:val="6EDE7B06"/>
    <w:rsid w:val="6F156220"/>
    <w:rsid w:val="6F1F06F0"/>
    <w:rsid w:val="6F977CB5"/>
    <w:rsid w:val="6F9B77A5"/>
    <w:rsid w:val="700510C2"/>
    <w:rsid w:val="706E0EAF"/>
    <w:rsid w:val="707603E8"/>
    <w:rsid w:val="707757E9"/>
    <w:rsid w:val="70DD3247"/>
    <w:rsid w:val="70F53F1B"/>
    <w:rsid w:val="71105F71"/>
    <w:rsid w:val="716C7043"/>
    <w:rsid w:val="71A87F57"/>
    <w:rsid w:val="71AD48F7"/>
    <w:rsid w:val="71D172C5"/>
    <w:rsid w:val="71E051A0"/>
    <w:rsid w:val="71F907B3"/>
    <w:rsid w:val="7213441B"/>
    <w:rsid w:val="72195723"/>
    <w:rsid w:val="726227FC"/>
    <w:rsid w:val="72627403"/>
    <w:rsid w:val="72761EA6"/>
    <w:rsid w:val="728A620F"/>
    <w:rsid w:val="72AE58D4"/>
    <w:rsid w:val="72B15531"/>
    <w:rsid w:val="72BA2E92"/>
    <w:rsid w:val="72BD19FE"/>
    <w:rsid w:val="72FA3741"/>
    <w:rsid w:val="73104006"/>
    <w:rsid w:val="73262D3D"/>
    <w:rsid w:val="733A5527"/>
    <w:rsid w:val="73511355"/>
    <w:rsid w:val="73722F12"/>
    <w:rsid w:val="73852101"/>
    <w:rsid w:val="73AF381F"/>
    <w:rsid w:val="73BA21C4"/>
    <w:rsid w:val="73CF571B"/>
    <w:rsid w:val="73ED2599"/>
    <w:rsid w:val="741B7106"/>
    <w:rsid w:val="741C1FBD"/>
    <w:rsid w:val="742C4E6F"/>
    <w:rsid w:val="74387CB8"/>
    <w:rsid w:val="74482150"/>
    <w:rsid w:val="745E1635"/>
    <w:rsid w:val="74723162"/>
    <w:rsid w:val="74884070"/>
    <w:rsid w:val="74E7523A"/>
    <w:rsid w:val="74F040EF"/>
    <w:rsid w:val="74F14015"/>
    <w:rsid w:val="75867A54"/>
    <w:rsid w:val="75A52178"/>
    <w:rsid w:val="75B4336E"/>
    <w:rsid w:val="75C56FF9"/>
    <w:rsid w:val="75E91A8B"/>
    <w:rsid w:val="768A40CF"/>
    <w:rsid w:val="769D40B3"/>
    <w:rsid w:val="76AE0F04"/>
    <w:rsid w:val="7709593C"/>
    <w:rsid w:val="770E6AAE"/>
    <w:rsid w:val="770F58A9"/>
    <w:rsid w:val="77102350"/>
    <w:rsid w:val="774A43B9"/>
    <w:rsid w:val="77752FD1"/>
    <w:rsid w:val="77765B49"/>
    <w:rsid w:val="77A22B71"/>
    <w:rsid w:val="784A33A1"/>
    <w:rsid w:val="7871358B"/>
    <w:rsid w:val="78734ADD"/>
    <w:rsid w:val="78AE3180"/>
    <w:rsid w:val="78BA0E09"/>
    <w:rsid w:val="78E65E0F"/>
    <w:rsid w:val="78EA52F9"/>
    <w:rsid w:val="79110AD8"/>
    <w:rsid w:val="795E5089"/>
    <w:rsid w:val="798066D3"/>
    <w:rsid w:val="79D7271B"/>
    <w:rsid w:val="79DA2BBE"/>
    <w:rsid w:val="7A0A1F00"/>
    <w:rsid w:val="7A0D5743"/>
    <w:rsid w:val="7A1016D0"/>
    <w:rsid w:val="7A1536CF"/>
    <w:rsid w:val="7A2465E9"/>
    <w:rsid w:val="7A410F49"/>
    <w:rsid w:val="7A4153ED"/>
    <w:rsid w:val="7A4D1821"/>
    <w:rsid w:val="7A7E17E5"/>
    <w:rsid w:val="7A9F5711"/>
    <w:rsid w:val="7AC54F13"/>
    <w:rsid w:val="7B525C6C"/>
    <w:rsid w:val="7B9A3006"/>
    <w:rsid w:val="7C794242"/>
    <w:rsid w:val="7C7D6BC3"/>
    <w:rsid w:val="7CF81E9C"/>
    <w:rsid w:val="7D126BCC"/>
    <w:rsid w:val="7DA4016C"/>
    <w:rsid w:val="7E2D63B4"/>
    <w:rsid w:val="7E4C610E"/>
    <w:rsid w:val="7EF452C3"/>
    <w:rsid w:val="7F0834F6"/>
    <w:rsid w:val="7F0D7F93"/>
    <w:rsid w:val="7F8655AF"/>
    <w:rsid w:val="7FAE583B"/>
    <w:rsid w:val="7FB82341"/>
    <w:rsid w:val="7FBE1C6A"/>
    <w:rsid w:val="7FC468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4">
    <w:name w:val="heading 2"/>
    <w:basedOn w:val="1"/>
    <w:next w:val="1"/>
    <w:link w:val="197"/>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paragraph" w:styleId="6">
    <w:name w:val="heading 4"/>
    <w:basedOn w:val="1"/>
    <w:next w:val="1"/>
    <w:qFormat/>
    <w:uiPriority w:val="0"/>
    <w:pPr>
      <w:keepNext/>
      <w:keepLines/>
      <w:numPr>
        <w:ilvl w:val="0"/>
        <w:numId w:val="1"/>
      </w:numPr>
      <w:spacing w:before="560" w:beforeLines="0" w:after="290" w:afterLines="0" w:line="377"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59">
    <w:name w:val="Default Paragraph Font"/>
    <w:qFormat/>
    <w:uiPriority w:val="0"/>
  </w:style>
  <w:style w:type="table" w:default="1" w:styleId="5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kern w:val="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2"/>
      </w:numPr>
      <w:spacing w:line="360" w:lineRule="auto"/>
    </w:pPr>
    <w:rPr>
      <w:sz w:val="24"/>
    </w:rPr>
  </w:style>
  <w:style w:type="paragraph" w:styleId="15">
    <w:name w:val="List Bullet 4"/>
    <w:basedOn w:val="1"/>
    <w:qFormat/>
    <w:uiPriority w:val="0"/>
    <w:pPr>
      <w:widowControl/>
      <w:numPr>
        <w:ilvl w:val="0"/>
        <w:numId w:val="3"/>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pPr>
      <w:spacing w:before="120" w:beforeLines="0" w:beforeAutospacing="0"/>
    </w:pPr>
    <w:rPr>
      <w:rFonts w:ascii="Arial" w:hAnsi="Arial"/>
      <w:sz w:val="24"/>
    </w:rPr>
  </w:style>
  <w:style w:type="paragraph" w:styleId="20">
    <w:name w:val="annotation text"/>
    <w:basedOn w:val="1"/>
    <w:link w:val="198"/>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qFormat/>
    <w:uiPriority w:val="0"/>
    <w:pPr>
      <w:adjustRightInd w:val="0"/>
      <w:snapToGrid w:val="0"/>
      <w:spacing w:after="120" w:afterLines="0" w:afterAutospacing="0" w:line="360" w:lineRule="auto"/>
    </w:pPr>
    <w:rPr>
      <w:sz w:val="16"/>
    </w:rPr>
  </w:style>
  <w:style w:type="paragraph" w:styleId="22">
    <w:name w:val="List Bullet 3"/>
    <w:basedOn w:val="1"/>
    <w:qFormat/>
    <w:uiPriority w:val="0"/>
    <w:pPr>
      <w:numPr>
        <w:ilvl w:val="0"/>
        <w:numId w:val="4"/>
      </w:numPr>
      <w:adjustRightInd w:val="0"/>
      <w:snapToGrid w:val="0"/>
      <w:spacing w:line="360" w:lineRule="auto"/>
    </w:pPr>
    <w:rPr>
      <w:sz w:val="24"/>
    </w:rPr>
  </w:style>
  <w:style w:type="paragraph" w:styleId="23">
    <w:name w:val="Body Text Indent"/>
    <w:basedOn w:val="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afterLines="0" w:afterAutospacing="0" w:line="360" w:lineRule="auto"/>
      <w:ind w:left="420" w:leftChars="200"/>
    </w:pPr>
    <w:rPr>
      <w:sz w:val="24"/>
    </w:rPr>
  </w:style>
  <w:style w:type="paragraph" w:styleId="27">
    <w:name w:val="List Bullet 2"/>
    <w:basedOn w:val="1"/>
    <w:qFormat/>
    <w:uiPriority w:val="0"/>
    <w:pPr>
      <w:numPr>
        <w:ilvl w:val="0"/>
        <w:numId w:val="5"/>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0"/>
    <w:pPr>
      <w:ind w:left="840" w:leftChars="400"/>
    </w:pPr>
  </w:style>
  <w:style w:type="paragraph" w:styleId="30">
    <w:name w:val="Plain Text"/>
    <w:basedOn w:val="1"/>
    <w:qFormat/>
    <w:uiPriority w:val="0"/>
    <w:pPr>
      <w:adjustRightInd w:val="0"/>
      <w:snapToGrid w:val="0"/>
      <w:spacing w:line="360" w:lineRule="auto"/>
    </w:pPr>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199"/>
    <w:qFormat/>
    <w:uiPriority w:val="0"/>
  </w:style>
  <w:style w:type="paragraph" w:styleId="33">
    <w:name w:val="Body Text Indent 2"/>
    <w:basedOn w:val="1"/>
    <w:qFormat/>
    <w:uiPriority w:val="0"/>
    <w:pPr>
      <w:snapToGrid w:val="0"/>
      <w:spacing w:line="440" w:lineRule="atLeast"/>
      <w:ind w:firstLine="570"/>
    </w:pPr>
    <w:rPr>
      <w:rFonts w:ascii="宋体"/>
    </w:r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6">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37">
    <w:name w:val="toc 1"/>
    <w:basedOn w:val="3"/>
    <w:next w:val="1"/>
    <w:qFormat/>
    <w:uiPriority w:val="39"/>
    <w:pPr>
      <w:tabs>
        <w:tab w:val="left" w:pos="1260"/>
        <w:tab w:val="left" w:pos="1685"/>
        <w:tab w:val="right" w:leader="dot" w:pos="8400"/>
        <w:tab w:val="clear" w:pos="3360"/>
      </w:tabs>
      <w:spacing w:line="320" w:lineRule="exact"/>
      <w:ind w:firstLine="280" w:firstLineChars="100"/>
    </w:pPr>
  </w:style>
  <w:style w:type="paragraph" w:styleId="38">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tabs>
        <w:tab w:val="right" w:leader="dot" w:pos="8400"/>
      </w:tabs>
      <w:spacing w:line="440" w:lineRule="exact"/>
      <w:ind w:left="280" w:leftChars="100" w:rightChars="-91"/>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afterLines="0" w:afterAutospacing="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0">
    <w:name w:val="Normal (Web)"/>
    <w:basedOn w:val="1"/>
    <w:qFormat/>
    <w:uiPriority w:val="99"/>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51">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afterLines="0" w:afterAutospacing="0" w:line="360" w:lineRule="auto"/>
      <w:jc w:val="center"/>
    </w:pPr>
    <w:rPr>
      <w:rFonts w:ascii="Arial" w:hAnsi="Arial" w:eastAsia="宋体"/>
      <w:b/>
      <w:smallCaps/>
      <w:kern w:val="28"/>
      <w:sz w:val="36"/>
      <w:lang w:val="en-US" w:eastAsia="en-US"/>
    </w:rPr>
  </w:style>
  <w:style w:type="paragraph" w:styleId="54">
    <w:name w:val="annotation subject"/>
    <w:basedOn w:val="20"/>
    <w:next w:val="20"/>
    <w:qFormat/>
    <w:uiPriority w:val="0"/>
    <w:pPr>
      <w:widowControl w:val="0"/>
      <w:adjustRightInd/>
      <w:snapToGrid/>
      <w:spacing w:line="240" w:lineRule="auto"/>
    </w:pPr>
    <w:rPr>
      <w:rFonts w:eastAsia="宋体"/>
      <w:b/>
      <w:kern w:val="2"/>
      <w:sz w:val="21"/>
      <w:lang w:val="en-US" w:eastAsia="zh-CN"/>
    </w:rPr>
  </w:style>
  <w:style w:type="paragraph" w:styleId="55">
    <w:name w:val="Body Text First Indent"/>
    <w:basedOn w:val="2"/>
    <w:qFormat/>
    <w:uiPriority w:val="0"/>
    <w:pPr>
      <w:spacing w:line="360" w:lineRule="auto"/>
      <w:ind w:firstLine="420"/>
    </w:pPr>
    <w:rPr>
      <w:rFonts w:ascii="宋体" w:hAnsi="宋体"/>
      <w:sz w:val="24"/>
    </w:rPr>
  </w:style>
  <w:style w:type="paragraph" w:styleId="56">
    <w:name w:val="Body Text First Indent 2"/>
    <w:basedOn w:val="23"/>
    <w:qFormat/>
    <w:uiPriority w:val="0"/>
    <w:pPr>
      <w:spacing w:after="120" w:afterLines="0" w:afterAutospacing="0" w:line="240" w:lineRule="auto"/>
      <w:ind w:left="420" w:leftChars="200" w:firstLine="420" w:firstLineChars="200"/>
    </w:pPr>
    <w:rPr>
      <w:sz w:val="21"/>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rPr>
  </w:style>
  <w:style w:type="character" w:styleId="66">
    <w:name w:val="footnote reference"/>
    <w:qFormat/>
    <w:uiPriority w:val="0"/>
    <w:rPr>
      <w:position w:val="6"/>
      <w:sz w:val="14"/>
      <w:vertAlign w:val="superscript"/>
    </w:rPr>
  </w:style>
  <w:style w:type="paragraph" w:customStyle="1" w:styleId="67">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8">
    <w:name w:val="目录 83"/>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69">
    <w:name w:val="文字"/>
    <w:basedOn w:val="1"/>
    <w:link w:val="209"/>
    <w:qFormat/>
    <w:uiPriority w:val="0"/>
    <w:pPr>
      <w:tabs>
        <w:tab w:val="left" w:pos="8520"/>
      </w:tabs>
      <w:spacing w:line="312" w:lineRule="auto"/>
      <w:ind w:right="-210" w:firstLine="556"/>
    </w:pPr>
    <w:rPr>
      <w:rFonts w:ascii="宋体"/>
    </w:rPr>
  </w:style>
  <w:style w:type="paragraph" w:customStyle="1" w:styleId="70">
    <w:name w:val="正文（首行不缩进）"/>
    <w:basedOn w:val="1"/>
    <w:qFormat/>
    <w:uiPriority w:val="0"/>
    <w:pPr>
      <w:autoSpaceDE w:val="0"/>
      <w:autoSpaceDN w:val="0"/>
      <w:adjustRightInd w:val="0"/>
      <w:spacing w:line="360" w:lineRule="auto"/>
      <w:jc w:val="left"/>
    </w:pPr>
    <w:rPr>
      <w:kern w:val="0"/>
      <w:sz w:val="21"/>
    </w:rPr>
  </w:style>
  <w:style w:type="paragraph" w:customStyle="1" w:styleId="7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72">
    <w:name w:val="样式 标题 1 + 居中 段前: 6 磅 段后: 6 磅 行距: 1.5 倍行距"/>
    <w:basedOn w:val="3"/>
    <w:qFormat/>
    <w:uiPriority w:val="0"/>
    <w:pPr>
      <w:keepLines/>
      <w:tabs>
        <w:tab w:val="clear" w:pos="3360"/>
      </w:tabs>
      <w:adjustRightInd w:val="0"/>
      <w:spacing w:before="120" w:beforeLines="0" w:beforeAutospacing="0" w:line="360" w:lineRule="auto"/>
    </w:pPr>
    <w:rPr>
      <w:rFonts w:eastAsia="宋体"/>
      <w:b/>
      <w:kern w:val="44"/>
      <w:sz w:val="32"/>
    </w:rPr>
  </w:style>
  <w:style w:type="paragraph" w:customStyle="1" w:styleId="73">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74">
    <w:name w:val="关键词"/>
    <w:basedOn w:val="1"/>
    <w:next w:val="1"/>
    <w:qFormat/>
    <w:uiPriority w:val="0"/>
    <w:pPr>
      <w:spacing w:line="360" w:lineRule="auto"/>
    </w:pPr>
    <w:rPr>
      <w:rFonts w:eastAsia="黑体"/>
      <w:sz w:val="20"/>
    </w:rPr>
  </w:style>
  <w:style w:type="paragraph" w:customStyle="1" w:styleId="75">
    <w:name w:val="可研正文"/>
    <w:basedOn w:val="2"/>
    <w:qFormat/>
    <w:uiPriority w:val="0"/>
    <w:pPr>
      <w:adjustRightInd w:val="0"/>
      <w:snapToGrid w:val="0"/>
      <w:spacing w:line="440" w:lineRule="exact"/>
      <w:ind w:firstLine="567"/>
    </w:pPr>
    <w:rPr>
      <w:sz w:val="28"/>
    </w:rPr>
  </w:style>
  <w:style w:type="paragraph" w:customStyle="1" w:styleId="76">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77">
    <w:name w:val="正文1"/>
    <w:basedOn w:val="1"/>
    <w:qFormat/>
    <w:uiPriority w:val="0"/>
    <w:pPr>
      <w:spacing w:line="300" w:lineRule="auto"/>
      <w:ind w:firstLine="200" w:firstLineChars="200"/>
    </w:pPr>
    <w:rPr>
      <w:sz w:val="24"/>
    </w:rPr>
  </w:style>
  <w:style w:type="paragraph" w:customStyle="1" w:styleId="78">
    <w:name w:val="表格文本"/>
    <w:qFormat/>
    <w:uiPriority w:val="0"/>
    <w:pPr>
      <w:tabs>
        <w:tab w:val="decimal" w:pos="0"/>
      </w:tabs>
    </w:pPr>
    <w:rPr>
      <w:rFonts w:ascii="Arial" w:hAnsi="Arial" w:eastAsia="宋体" w:cs="Times New Roman"/>
      <w:sz w:val="21"/>
      <w:lang w:val="en-US" w:eastAsia="zh-CN" w:bidi="ar-SA"/>
    </w:rPr>
  </w:style>
  <w:style w:type="paragraph" w:customStyle="1" w:styleId="79">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80">
    <w:name w:val="_"/>
    <w:basedOn w:val="1"/>
    <w:qFormat/>
    <w:uiPriority w:val="0"/>
    <w:pPr>
      <w:adjustRightInd w:val="0"/>
      <w:spacing w:line="360" w:lineRule="auto"/>
      <w:ind w:left="480" w:firstLine="200" w:firstLineChars="200"/>
      <w:textAlignment w:val="baseline"/>
    </w:pPr>
    <w:rPr>
      <w:kern w:val="0"/>
      <w:sz w:val="24"/>
    </w:rPr>
  </w:style>
  <w:style w:type="paragraph" w:customStyle="1" w:styleId="81">
    <w:name w:val="默认段落字体 Para Char Char Char Char Char Char Char Char Char1 Char Char Char Char"/>
    <w:basedOn w:val="1"/>
    <w:qFormat/>
    <w:uiPriority w:val="0"/>
    <w:rPr>
      <w:rFonts w:ascii="Tahoma" w:hAnsi="Tahoma"/>
      <w:sz w:val="24"/>
    </w:rPr>
  </w:style>
  <w:style w:type="paragraph" w:customStyle="1" w:styleId="82">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83">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84">
    <w:name w:val="00"/>
    <w:basedOn w:val="1"/>
    <w:qFormat/>
    <w:uiPriority w:val="0"/>
    <w:pPr>
      <w:autoSpaceDE w:val="0"/>
      <w:autoSpaceDN w:val="0"/>
      <w:adjustRightInd w:val="0"/>
      <w:jc w:val="left"/>
    </w:pPr>
    <w:rPr>
      <w:rFonts w:ascii="黑体" w:eastAsia="黑体"/>
      <w:b/>
      <w:kern w:val="0"/>
      <w:sz w:val="20"/>
    </w:rPr>
  </w:style>
  <w:style w:type="paragraph" w:customStyle="1" w:styleId="85">
    <w:name w:val="章标题"/>
    <w:next w:val="1"/>
    <w:qFormat/>
    <w:uiPriority w:val="0"/>
    <w:pPr>
      <w:numPr>
        <w:ilvl w:val="1"/>
        <w:numId w:val="6"/>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86">
    <w:name w:val="默认段落字体 Para Char Char Char Char Char Char Char"/>
    <w:basedOn w:val="1"/>
    <w:qFormat/>
    <w:uiPriority w:val="0"/>
    <w:rPr>
      <w:rFonts w:ascii="Tahoma" w:hAnsi="Tahoma"/>
      <w:sz w:val="24"/>
    </w:rPr>
  </w:style>
  <w:style w:type="paragraph" w:customStyle="1" w:styleId="87">
    <w:name w:val=" Char1 Char Char Char"/>
    <w:basedOn w:val="1"/>
    <w:qFormat/>
    <w:uiPriority w:val="0"/>
    <w:rPr>
      <w:rFonts w:ascii="Tahoma" w:hAnsi="Tahoma"/>
      <w:sz w:val="24"/>
    </w:rPr>
  </w:style>
  <w:style w:type="paragraph" w:customStyle="1" w:styleId="88">
    <w:name w:val=" Char Char Char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89">
    <w:name w:val=" Char Char Char Char Char"/>
    <w:basedOn w:val="1"/>
    <w:qFormat/>
    <w:uiPriority w:val="0"/>
    <w:pPr>
      <w:numPr>
        <w:ilvl w:val="0"/>
        <w:numId w:val="7"/>
      </w:numPr>
    </w:pPr>
    <w:rPr>
      <w:rFonts w:ascii="Tahoma" w:hAnsi="Tahoma"/>
      <w:sz w:val="24"/>
    </w:rPr>
  </w:style>
  <w:style w:type="paragraph" w:customStyle="1" w:styleId="90">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91">
    <w:name w:val="简单回函地址"/>
    <w:basedOn w:val="1"/>
    <w:qFormat/>
    <w:uiPriority w:val="0"/>
    <w:pPr>
      <w:adjustRightInd w:val="0"/>
      <w:snapToGrid w:val="0"/>
      <w:spacing w:line="360" w:lineRule="auto"/>
    </w:pPr>
    <w:rPr>
      <w:sz w:val="24"/>
    </w:rPr>
  </w:style>
  <w:style w:type="paragraph" w:customStyle="1" w:styleId="92">
    <w:name w:val="样式 正文首行缩进 2 + 首行缩进:  2 字符"/>
    <w:basedOn w:val="1"/>
    <w:qFormat/>
    <w:uiPriority w:val="0"/>
    <w:pPr>
      <w:numPr>
        <w:ilvl w:val="0"/>
        <w:numId w:val="8"/>
      </w:numPr>
      <w:adjustRightInd w:val="0"/>
      <w:snapToGrid w:val="0"/>
      <w:spacing w:line="360" w:lineRule="auto"/>
    </w:pPr>
    <w:rPr>
      <w:rFonts w:ascii="Arial" w:hAnsi="Arial"/>
      <w:b/>
      <w:sz w:val="24"/>
    </w:rPr>
  </w:style>
  <w:style w:type="paragraph" w:customStyle="1" w:styleId="93">
    <w:name w:val="Style Heading 3h3Heading 3 - oldLevel 3 HeadH3level_3PIM 3se..."/>
    <w:basedOn w:val="5"/>
    <w:qFormat/>
    <w:uiPriority w:val="0"/>
    <w:pPr>
      <w:numPr>
        <w:ilvl w:val="2"/>
        <w:numId w:val="7"/>
      </w:numPr>
      <w:jc w:val="both"/>
    </w:pPr>
    <w:rPr>
      <w:sz w:val="32"/>
    </w:rPr>
  </w:style>
  <w:style w:type="paragraph" w:customStyle="1" w:styleId="94">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95">
    <w:name w:val=" Char"/>
    <w:basedOn w:val="1"/>
    <w:qFormat/>
    <w:uiPriority w:val="0"/>
    <w:pPr>
      <w:spacing w:line="240" w:lineRule="atLeast"/>
      <w:ind w:left="420" w:firstLine="420"/>
    </w:pPr>
    <w:rPr>
      <w:kern w:val="0"/>
      <w:sz w:val="21"/>
    </w:rPr>
  </w:style>
  <w:style w:type="paragraph" w:customStyle="1" w:styleId="9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97">
    <w:name w:val="表头样式"/>
    <w:basedOn w:val="1"/>
    <w:qFormat/>
    <w:uiPriority w:val="0"/>
    <w:pPr>
      <w:autoSpaceDE w:val="0"/>
      <w:autoSpaceDN w:val="0"/>
      <w:adjustRightInd w:val="0"/>
      <w:spacing w:line="360" w:lineRule="auto"/>
      <w:jc w:val="left"/>
    </w:pPr>
    <w:rPr>
      <w:b/>
      <w:kern w:val="0"/>
      <w:sz w:val="21"/>
    </w:rPr>
  </w:style>
  <w:style w:type="paragraph" w:customStyle="1" w:styleId="9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99">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100">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0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02">
    <w:name w:val="Title - Date"/>
    <w:basedOn w:val="53"/>
    <w:next w:val="1"/>
    <w:qFormat/>
    <w:uiPriority w:val="0"/>
    <w:pPr>
      <w:spacing w:before="240" w:beforeLines="0" w:beforeAutospacing="0" w:after="720" w:afterLines="0" w:afterAutospacing="0"/>
    </w:pPr>
    <w:rPr>
      <w:sz w:val="28"/>
    </w:rPr>
  </w:style>
  <w:style w:type="paragraph" w:customStyle="1" w:styleId="103">
    <w:name w:val="标题3——2"/>
    <w:basedOn w:val="5"/>
    <w:next w:val="55"/>
    <w:qFormat/>
    <w:uiPriority w:val="0"/>
    <w:pPr>
      <w:tabs>
        <w:tab w:val="left" w:pos="1280"/>
        <w:tab w:val="right" w:leader="dot" w:pos="8777"/>
      </w:tabs>
      <w:spacing w:before="312" w:beforeLines="100" w:beforeAutospacing="0" w:after="0" w:afterLines="0" w:afterAutospacing="0" w:line="240" w:lineRule="auto"/>
      <w:ind w:left="851" w:hanging="851"/>
      <w:jc w:val="both"/>
      <w:outlineLvl w:val="9"/>
    </w:pPr>
    <w:rPr>
      <w:rFonts w:ascii="黑体" w:hAnsi="宋体" w:eastAsia="黑体"/>
      <w:sz w:val="30"/>
    </w:rPr>
  </w:style>
  <w:style w:type="paragraph" w:customStyle="1" w:styleId="104">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0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0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07">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08">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09">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110">
    <w:name w:val="编号正文"/>
    <w:basedOn w:val="94"/>
    <w:qFormat/>
    <w:uiPriority w:val="0"/>
    <w:pPr>
      <w:snapToGrid/>
      <w:spacing w:line="360" w:lineRule="auto"/>
      <w:ind w:left="1407" w:hanging="1047"/>
      <w:jc w:val="left"/>
    </w:pPr>
    <w:rPr>
      <w:rFonts w:eastAsia="仿宋_GB2312"/>
    </w:rPr>
  </w:style>
  <w:style w:type="paragraph" w:customStyle="1" w:styleId="111">
    <w:name w:val="文本1"/>
    <w:basedOn w:val="1"/>
    <w:qFormat/>
    <w:uiPriority w:val="0"/>
    <w:pPr>
      <w:adjustRightInd w:val="0"/>
      <w:spacing w:line="312" w:lineRule="atLeast"/>
      <w:jc w:val="center"/>
      <w:textAlignment w:val="baseline"/>
    </w:pPr>
    <w:rPr>
      <w:kern w:val="0"/>
      <w:sz w:val="18"/>
    </w:rPr>
  </w:style>
  <w:style w:type="paragraph" w:customStyle="1" w:styleId="112">
    <w:name w:val="Item List"/>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13">
    <w:name w:val="附录3"/>
    <w:basedOn w:val="1"/>
    <w:next w:val="1"/>
    <w:qFormat/>
    <w:uiPriority w:val="0"/>
    <w:pPr>
      <w:numPr>
        <w:ilvl w:val="2"/>
        <w:numId w:val="0"/>
      </w:numPr>
      <w:tabs>
        <w:tab w:val="left" w:pos="851"/>
      </w:tabs>
      <w:ind w:left="425" w:hanging="425"/>
      <w:outlineLvl w:val="2"/>
    </w:pPr>
    <w:rPr>
      <w:rFonts w:eastAsia="黑体"/>
      <w:b/>
      <w:sz w:val="32"/>
    </w:rPr>
  </w:style>
  <w:style w:type="paragraph" w:customStyle="1" w:styleId="114">
    <w:name w:val="首行缩进"/>
    <w:basedOn w:val="1"/>
    <w:qFormat/>
    <w:uiPriority w:val="0"/>
    <w:pPr>
      <w:spacing w:line="360" w:lineRule="auto"/>
      <w:ind w:firstLine="420" w:firstLineChars="200"/>
    </w:pPr>
    <w:rPr>
      <w:sz w:val="21"/>
    </w:rPr>
  </w:style>
  <w:style w:type="paragraph" w:customStyle="1" w:styleId="115">
    <w:name w:val="内容标题"/>
    <w:basedOn w:val="18"/>
    <w:qFormat/>
    <w:uiPriority w:val="0"/>
    <w:rPr>
      <w:rFonts w:ascii="Tahoma" w:hAnsi="Tahoma"/>
      <w:sz w:val="24"/>
    </w:rPr>
  </w:style>
  <w:style w:type="paragraph" w:customStyle="1" w:styleId="116">
    <w:name w:val="标题无"/>
    <w:basedOn w:val="1"/>
    <w:qFormat/>
    <w:uiPriority w:val="0"/>
    <w:pPr>
      <w:spacing w:line="360" w:lineRule="auto"/>
    </w:pPr>
    <w:rPr>
      <w:sz w:val="24"/>
    </w:rPr>
  </w:style>
  <w:style w:type="paragraph" w:customStyle="1" w:styleId="117">
    <w:name w:val="附录4"/>
    <w:basedOn w:val="1"/>
    <w:next w:val="1"/>
    <w:qFormat/>
    <w:uiPriority w:val="0"/>
    <w:pPr>
      <w:widowControl/>
      <w:numPr>
        <w:ilvl w:val="3"/>
        <w:numId w:val="0"/>
      </w:numPr>
      <w:tabs>
        <w:tab w:val="left" w:pos="1134"/>
      </w:tabs>
      <w:spacing w:line="300" w:lineRule="auto"/>
      <w:ind w:left="1361" w:hanging="1361"/>
      <w:outlineLvl w:val="3"/>
    </w:pPr>
    <w:rPr>
      <w:rFonts w:ascii="Arial" w:hAnsi="Arial" w:eastAsia="黑体"/>
      <w:kern w:val="0"/>
    </w:rPr>
  </w:style>
  <w:style w:type="paragraph" w:customStyle="1" w:styleId="118">
    <w:name w:val="表号"/>
    <w:basedOn w:val="1"/>
    <w:qFormat/>
    <w:uiPriority w:val="0"/>
    <w:pPr>
      <w:numPr>
        <w:ilvl w:val="0"/>
        <w:numId w:val="10"/>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119">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20">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21">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22">
    <w:name w:val="2表格（表体）"/>
    <w:basedOn w:val="1"/>
    <w:qFormat/>
    <w:uiPriority w:val="99"/>
    <w:pPr>
      <w:spacing w:line="440" w:lineRule="exact"/>
      <w:ind w:firstLine="240" w:firstLineChars="100"/>
    </w:pPr>
  </w:style>
  <w:style w:type="paragraph" w:customStyle="1" w:styleId="123">
    <w:name w:val="1"/>
    <w:basedOn w:val="1"/>
    <w:qFormat/>
    <w:uiPriority w:val="0"/>
    <w:rPr>
      <w:rFonts w:ascii="Tahoma" w:hAnsi="Tahoma"/>
      <w:sz w:val="24"/>
    </w:rPr>
  </w:style>
  <w:style w:type="paragraph" w:customStyle="1" w:styleId="124">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5">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126">
    <w:name w:val="图片文字"/>
    <w:basedOn w:val="1"/>
    <w:qFormat/>
    <w:uiPriority w:val="0"/>
    <w:pPr>
      <w:spacing w:line="240" w:lineRule="atLeast"/>
      <w:jc w:val="center"/>
    </w:pPr>
    <w:rPr>
      <w:sz w:val="21"/>
    </w:rPr>
  </w:style>
  <w:style w:type="paragraph" w:customStyle="1" w:styleId="127">
    <w:name w:val="样式 行距: 1.5 倍行距1"/>
    <w:basedOn w:val="1"/>
    <w:qFormat/>
    <w:uiPriority w:val="0"/>
    <w:pPr>
      <w:snapToGrid w:val="0"/>
    </w:pPr>
    <w:rPr>
      <w:sz w:val="21"/>
    </w:rPr>
  </w:style>
  <w:style w:type="paragraph" w:customStyle="1" w:styleId="128">
    <w:name w:val="Char Char Char Char Char Char Char"/>
    <w:basedOn w:val="18"/>
    <w:qFormat/>
    <w:uiPriority w:val="0"/>
    <w:rPr>
      <w:rFonts w:ascii="宋体" w:hAnsi="Tahoma"/>
    </w:rPr>
  </w:style>
  <w:style w:type="paragraph" w:customStyle="1" w:styleId="129">
    <w:name w:val=" Char Char Char"/>
    <w:basedOn w:val="1"/>
    <w:qFormat/>
    <w:uiPriority w:val="0"/>
    <w:rPr>
      <w:rFonts w:ascii="Tahoma" w:hAnsi="Tahoma"/>
      <w:sz w:val="24"/>
    </w:rPr>
  </w:style>
  <w:style w:type="paragraph" w:customStyle="1" w:styleId="130">
    <w:name w:val="Title - Revision"/>
    <w:basedOn w:val="53"/>
    <w:qFormat/>
    <w:uiPriority w:val="0"/>
    <w:pPr>
      <w:spacing w:before="720" w:beforeLines="0" w:beforeAutospacing="0"/>
    </w:pPr>
  </w:style>
  <w:style w:type="paragraph" w:customStyle="1" w:styleId="131">
    <w:name w:val="样式 正文缩进正文（首行缩进两字）表正文正文非缩进特点标题4段1 + 首行缩进:  2 字符"/>
    <w:basedOn w:val="16"/>
    <w:qFormat/>
    <w:uiPriority w:val="0"/>
    <w:pPr>
      <w:ind w:firstLine="480" w:firstLineChars="200"/>
    </w:pPr>
  </w:style>
  <w:style w:type="paragraph" w:customStyle="1" w:styleId="132">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33">
    <w:name w:val="表头文本"/>
    <w:qFormat/>
    <w:uiPriority w:val="0"/>
    <w:pPr>
      <w:jc w:val="center"/>
    </w:pPr>
    <w:rPr>
      <w:rFonts w:ascii="Arial" w:hAnsi="Arial" w:eastAsia="宋体" w:cs="Times New Roman"/>
      <w:b/>
      <w:sz w:val="21"/>
      <w:lang w:val="en-US" w:eastAsia="zh-CN" w:bidi="ar-SA"/>
    </w:rPr>
  </w:style>
  <w:style w:type="paragraph" w:customStyle="1" w:styleId="134">
    <w:name w:val="样式 标题 1章标题Heading 0Section HeadPIM 1H1h11st levell11H1..."/>
    <w:basedOn w:val="3"/>
    <w:qFormat/>
    <w:uiPriority w:val="0"/>
    <w:pPr>
      <w:keepLines/>
      <w:pageBreakBefore/>
      <w:tabs>
        <w:tab w:val="left" w:pos="432"/>
        <w:tab w:val="clear" w:pos="3360"/>
      </w:tabs>
      <w:autoSpaceDE w:val="0"/>
      <w:autoSpaceDN w:val="0"/>
      <w:adjustRightInd w:val="0"/>
      <w:spacing w:before="340" w:beforeLines="0" w:beforeAutospacing="0" w:after="330" w:afterLines="0" w:afterAutospacing="0" w:line="578" w:lineRule="atLeast"/>
      <w:jc w:val="both"/>
      <w:textAlignment w:val="bottom"/>
    </w:pPr>
    <w:rPr>
      <w:rFonts w:ascii="宋体" w:hAnsi="宋体"/>
      <w:b/>
      <w:kern w:val="44"/>
      <w:sz w:val="36"/>
    </w:rPr>
  </w:style>
  <w:style w:type="paragraph" w:customStyle="1" w:styleId="135">
    <w:name w:val=" Char Char 字元 字元 字元 Char Char Char Char"/>
    <w:basedOn w:val="1"/>
    <w:qFormat/>
    <w:uiPriority w:val="0"/>
    <w:pPr>
      <w:adjustRightInd w:val="0"/>
      <w:spacing w:line="360" w:lineRule="auto"/>
    </w:pPr>
    <w:rPr>
      <w:kern w:val="0"/>
      <w:sz w:val="24"/>
    </w:rPr>
  </w:style>
  <w:style w:type="paragraph" w:customStyle="1" w:styleId="136">
    <w:name w:val="二级列表"/>
    <w:basedOn w:val="137"/>
    <w:next w:val="137"/>
    <w:qFormat/>
    <w:uiPriority w:val="0"/>
    <w:pPr>
      <w:tabs>
        <w:tab w:val="left" w:pos="2120"/>
      </w:tabs>
      <w:ind w:firstLine="0" w:firstLineChars="0"/>
    </w:pPr>
    <w:rPr>
      <w:b/>
    </w:rPr>
  </w:style>
  <w:style w:type="paragraph" w:customStyle="1" w:styleId="137">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38">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39">
    <w:name w:val="首行缩进 1"/>
    <w:basedOn w:val="1"/>
    <w:qFormat/>
    <w:uiPriority w:val="0"/>
    <w:pPr>
      <w:spacing w:after="120" w:afterLines="0" w:afterAutospacing="0" w:line="360" w:lineRule="auto"/>
      <w:ind w:firstLine="200" w:firstLineChars="200"/>
    </w:pPr>
    <w:rPr>
      <w:sz w:val="24"/>
    </w:rPr>
  </w:style>
  <w:style w:type="paragraph" w:customStyle="1" w:styleId="140">
    <w:name w:val=" Char Char1 Char"/>
    <w:basedOn w:val="1"/>
    <w:qFormat/>
    <w:uiPriority w:val="0"/>
    <w:rPr>
      <w:rFonts w:ascii="Tahoma" w:hAnsi="Tahoma"/>
      <w:sz w:val="24"/>
      <w:szCs w:val="24"/>
    </w:rPr>
  </w:style>
  <w:style w:type="paragraph" w:customStyle="1" w:styleId="141">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42">
    <w:name w:val="Char1 Char Char Char"/>
    <w:basedOn w:val="1"/>
    <w:qFormat/>
    <w:uiPriority w:val="0"/>
    <w:rPr>
      <w:rFonts w:ascii="Tahoma" w:hAnsi="Tahoma"/>
      <w:sz w:val="21"/>
    </w:rPr>
  </w:style>
  <w:style w:type="paragraph" w:customStyle="1" w:styleId="143">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144">
    <w:name w:val="标题2"/>
    <w:basedOn w:val="4"/>
    <w:qFormat/>
    <w:uiPriority w:val="0"/>
    <w:pPr>
      <w:keepNext w:val="0"/>
      <w:keepLines w:val="0"/>
      <w:snapToGrid w:val="0"/>
      <w:spacing w:before="0" w:beforeLines="0" w:beforeAutospacing="0" w:after="0" w:afterLines="0" w:afterAutospacing="0"/>
      <w:ind w:firstLine="574" w:firstLineChars="196"/>
      <w:outlineLvl w:val="9"/>
    </w:pPr>
    <w:rPr>
      <w:b/>
      <w:spacing w:val="6"/>
      <w:u w:val="single"/>
    </w:rPr>
  </w:style>
  <w:style w:type="paragraph" w:customStyle="1" w:styleId="145">
    <w:name w:val="Char Char1 Char Char Char Char Char Char Char Char"/>
    <w:basedOn w:val="1"/>
    <w:qFormat/>
    <w:uiPriority w:val="0"/>
    <w:pPr>
      <w:widowControl/>
      <w:spacing w:after="160" w:afterLines="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7">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48">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149">
    <w:name w:val="样式 宋体 五号 行距: 单倍行距"/>
    <w:basedOn w:val="1"/>
    <w:qFormat/>
    <w:uiPriority w:val="0"/>
    <w:pPr>
      <w:adjustRightInd w:val="0"/>
      <w:jc w:val="left"/>
    </w:pPr>
    <w:rPr>
      <w:rFonts w:ascii="宋体" w:hAnsi="宋体"/>
      <w:kern w:val="0"/>
      <w:sz w:val="21"/>
    </w:rPr>
  </w:style>
  <w:style w:type="paragraph" w:customStyle="1" w:styleId="150">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51">
    <w:name w:val="正文表格"/>
    <w:basedOn w:val="1"/>
    <w:qFormat/>
    <w:uiPriority w:val="0"/>
    <w:pPr>
      <w:adjustRightInd w:val="0"/>
      <w:spacing w:before="40" w:beforeLines="0" w:beforeAutospacing="0" w:after="40" w:afterLines="0" w:afterAutospacing="0"/>
    </w:pPr>
    <w:rPr>
      <w:sz w:val="24"/>
    </w:rPr>
  </w:style>
  <w:style w:type="paragraph" w:customStyle="1" w:styleId="15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53">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54">
    <w:name w:val="文章正文"/>
    <w:basedOn w:val="1"/>
    <w:qFormat/>
    <w:uiPriority w:val="0"/>
    <w:pPr>
      <w:ind w:firstLine="560" w:firstLineChars="200"/>
    </w:pPr>
    <w:rPr>
      <w:rFonts w:ascii="仿宋_GB2312" w:hAnsi="宋体" w:eastAsia="仿宋_GB2312"/>
      <w:color w:val="000000"/>
    </w:rPr>
  </w:style>
  <w:style w:type="paragraph" w:customStyle="1" w:styleId="15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56">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57">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158">
    <w:name w:val="样式 标题 6第五层条 + 三号 段前: 0.5 行"/>
    <w:basedOn w:val="8"/>
    <w:qFormat/>
    <w:uiPriority w:val="0"/>
    <w:pPr>
      <w:widowControl/>
      <w:numPr>
        <w:ilvl w:val="5"/>
        <w:numId w:val="0"/>
      </w:numPr>
      <w:adjustRightInd/>
      <w:snapToGrid/>
      <w:spacing w:before="156" w:beforeLines="50" w:beforeAutospacing="0"/>
      <w:ind w:left="1152" w:hanging="1152"/>
      <w:jc w:val="left"/>
    </w:pPr>
    <w:rPr>
      <w:snapToGrid w:val="0"/>
      <w:kern w:val="24"/>
      <w:sz w:val="28"/>
    </w:rPr>
  </w:style>
  <w:style w:type="paragraph" w:customStyle="1" w:styleId="159">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60">
    <w:name w:val="样式1"/>
    <w:basedOn w:val="6"/>
    <w:qFormat/>
    <w:uiPriority w:val="0"/>
    <w:pPr>
      <w:spacing w:before="500" w:beforeLines="0" w:after="260" w:afterLines="0" w:line="560" w:lineRule="atLeast"/>
    </w:pPr>
  </w:style>
  <w:style w:type="paragraph" w:customStyle="1" w:styleId="161">
    <w:name w:val="（表头）表格"/>
    <w:basedOn w:val="1"/>
    <w:qFormat/>
    <w:uiPriority w:val="0"/>
    <w:pPr>
      <w:spacing w:line="440" w:lineRule="exact"/>
      <w:jc w:val="center"/>
    </w:pPr>
  </w:style>
  <w:style w:type="paragraph" w:customStyle="1" w:styleId="162">
    <w:name w:val="标准正文"/>
    <w:basedOn w:val="23"/>
    <w:qFormat/>
    <w:uiPriority w:val="0"/>
    <w:pPr>
      <w:spacing w:before="60" w:beforeLines="0" w:beforeAutospacing="0" w:after="60" w:afterLines="0" w:afterAutospacing="0" w:line="360" w:lineRule="auto"/>
      <w:ind w:left="0" w:firstLine="482"/>
    </w:pPr>
    <w:rPr>
      <w:rFonts w:ascii="Arial" w:hAnsi="Arial"/>
      <w:sz w:val="24"/>
    </w:rPr>
  </w:style>
  <w:style w:type="paragraph" w:customStyle="1" w:styleId="163">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164">
    <w:name w:val="1.正文"/>
    <w:basedOn w:val="1"/>
    <w:qFormat/>
    <w:uiPriority w:val="0"/>
    <w:pPr>
      <w:spacing w:line="360" w:lineRule="auto"/>
      <w:ind w:left="540" w:leftChars="225" w:firstLine="540" w:firstLineChars="225"/>
    </w:pPr>
    <w:rPr>
      <w:sz w:val="24"/>
    </w:rPr>
  </w:style>
  <w:style w:type="paragraph" w:customStyle="1" w:styleId="165">
    <w:name w:val="Body Text Indent 2"/>
    <w:basedOn w:val="1"/>
    <w:qFormat/>
    <w:uiPriority w:val="0"/>
    <w:pPr>
      <w:adjustRightInd w:val="0"/>
      <w:spacing w:before="120" w:beforeLines="0" w:beforeAutospacing="0"/>
      <w:ind w:firstLine="420"/>
      <w:textAlignment w:val="baseline"/>
    </w:pPr>
    <w:rPr>
      <w:sz w:val="24"/>
    </w:rPr>
  </w:style>
  <w:style w:type="paragraph" w:customStyle="1" w:styleId="166">
    <w:name w:val="bt"/>
    <w:basedOn w:val="1"/>
    <w:next w:val="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167">
    <w:name w:val="正文 + 三号"/>
    <w:basedOn w:val="1"/>
    <w:qFormat/>
    <w:uiPriority w:val="0"/>
    <w:rPr>
      <w:rFonts w:eastAsia="宋体"/>
      <w:kern w:val="2"/>
      <w:sz w:val="21"/>
      <w:lang w:val="en-US" w:eastAsia="zh-CN"/>
    </w:rPr>
  </w:style>
  <w:style w:type="paragraph" w:customStyle="1" w:styleId="168">
    <w:name w:val="IN Feature"/>
    <w:next w:val="9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9">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7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71">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73">
    <w:name w:val="_Style 172"/>
    <w:qFormat/>
    <w:uiPriority w:val="0"/>
    <w:rPr>
      <w:rFonts w:ascii="Times New Roman" w:hAnsi="Times New Roman" w:eastAsia="宋体" w:cs="Times New Roman"/>
      <w:kern w:val="2"/>
      <w:sz w:val="21"/>
      <w:lang w:val="en-US" w:eastAsia="zh-CN" w:bidi="ar-SA"/>
    </w:rPr>
  </w:style>
  <w:style w:type="paragraph" w:customStyle="1" w:styleId="174">
    <w:name w:val="样式1xz"/>
    <w:basedOn w:val="1"/>
    <w:qFormat/>
    <w:uiPriority w:val="0"/>
    <w:pPr>
      <w:tabs>
        <w:tab w:val="left" w:pos="1050"/>
        <w:tab w:val="right" w:leader="dot" w:pos="8296"/>
      </w:tabs>
    </w:pPr>
    <w:rPr>
      <w:caps/>
      <w:spacing w:val="20"/>
      <w:sz w:val="24"/>
    </w:rPr>
  </w:style>
  <w:style w:type="paragraph" w:customStyle="1" w:styleId="175">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76">
    <w:name w:val="表格内文字"/>
    <w:basedOn w:val="30"/>
    <w:qFormat/>
    <w:uiPriority w:val="0"/>
    <w:pPr>
      <w:snapToGrid/>
      <w:spacing w:line="240" w:lineRule="auto"/>
    </w:pPr>
    <w:rPr>
      <w:color w:val="000000"/>
      <w:lang w:val="en-GB"/>
    </w:rPr>
  </w:style>
  <w:style w:type="paragraph" w:customStyle="1" w:styleId="177">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78">
    <w:name w:val=" Char1"/>
    <w:basedOn w:val="1"/>
    <w:qFormat/>
    <w:uiPriority w:val="0"/>
    <w:rPr>
      <w:sz w:val="21"/>
    </w:rPr>
  </w:style>
  <w:style w:type="paragraph" w:customStyle="1" w:styleId="179">
    <w:name w:val="样式2"/>
    <w:basedOn w:val="6"/>
    <w:qFormat/>
    <w:uiPriority w:val="0"/>
    <w:pPr>
      <w:numPr>
        <w:ilvl w:val="0"/>
        <w:numId w:val="13"/>
      </w:numPr>
      <w:spacing w:line="400" w:lineRule="exact"/>
      <w:jc w:val="center"/>
      <w:outlineLvl w:val="0"/>
    </w:pPr>
    <w:rPr>
      <w:b w:val="0"/>
      <w:sz w:val="44"/>
    </w:rPr>
  </w:style>
  <w:style w:type="paragraph" w:customStyle="1" w:styleId="180">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81">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82">
    <w:name w:val="Table Contents"/>
    <w:basedOn w:val="2"/>
    <w:qFormat/>
    <w:uiPriority w:val="0"/>
    <w:pPr>
      <w:suppressAutoHyphens/>
      <w:jc w:val="left"/>
    </w:pPr>
    <w:rPr>
      <w:rFonts w:ascii="Times New Roman" w:eastAsia="Times New Roman"/>
      <w:kern w:val="0"/>
      <w:sz w:val="24"/>
    </w:rPr>
  </w:style>
  <w:style w:type="paragraph" w:customStyle="1" w:styleId="183">
    <w:name w:val="标书正文:  0.74 厘米"/>
    <w:basedOn w:val="1"/>
    <w:qFormat/>
    <w:uiPriority w:val="0"/>
    <w:pPr>
      <w:snapToGrid w:val="0"/>
      <w:spacing w:line="360" w:lineRule="auto"/>
      <w:ind w:firstLine="420"/>
    </w:pPr>
    <w:rPr>
      <w:rFonts w:eastAsia="宋体"/>
      <w:kern w:val="2"/>
      <w:sz w:val="24"/>
      <w:lang w:val="en-US" w:eastAsia="zh-CN"/>
    </w:rPr>
  </w:style>
  <w:style w:type="paragraph" w:customStyle="1" w:styleId="18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5">
    <w:name w:val="样式 首行缩进:  0.74 厘米"/>
    <w:basedOn w:val="1"/>
    <w:qFormat/>
    <w:uiPriority w:val="0"/>
    <w:pPr>
      <w:spacing w:line="360" w:lineRule="auto"/>
      <w:ind w:firstLine="420"/>
    </w:pPr>
    <w:rPr>
      <w:sz w:val="24"/>
    </w:rPr>
  </w:style>
  <w:style w:type="paragraph" w:customStyle="1" w:styleId="186">
    <w:name w:val="表文字"/>
    <w:qFormat/>
    <w:uiPriority w:val="0"/>
    <w:rPr>
      <w:rFonts w:ascii="宋体" w:hAnsi="Times New Roman" w:eastAsia="宋体" w:cs="Times New Roman"/>
      <w:kern w:val="2"/>
      <w:lang w:val="en-US" w:eastAsia="zh-CN" w:bidi="ar-SA"/>
    </w:rPr>
  </w:style>
  <w:style w:type="paragraph" w:customStyle="1" w:styleId="187">
    <w:name w:val="列表项目"/>
    <w:basedOn w:val="1"/>
    <w:qFormat/>
    <w:uiPriority w:val="0"/>
    <w:pPr>
      <w:numPr>
        <w:ilvl w:val="0"/>
        <w:numId w:val="14"/>
      </w:numPr>
      <w:tabs>
        <w:tab w:val="left" w:pos="420"/>
        <w:tab w:val="clear" w:pos="980"/>
      </w:tabs>
      <w:spacing w:line="288" w:lineRule="auto"/>
      <w:ind w:left="840" w:leftChars="200" w:hanging="420" w:hangingChars="200"/>
    </w:pPr>
    <w:rPr>
      <w:sz w:val="21"/>
    </w:rPr>
  </w:style>
  <w:style w:type="paragraph" w:customStyle="1" w:styleId="188">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89">
    <w:name w:val="摘要"/>
    <w:basedOn w:val="1"/>
    <w:next w:val="4"/>
    <w:qFormat/>
    <w:uiPriority w:val="0"/>
    <w:pPr>
      <w:spacing w:line="360" w:lineRule="auto"/>
    </w:pPr>
    <w:rPr>
      <w:rFonts w:eastAsia="黑体"/>
      <w:sz w:val="20"/>
    </w:rPr>
  </w:style>
  <w:style w:type="paragraph" w:customStyle="1" w:styleId="190">
    <w:name w:val="样式4"/>
    <w:basedOn w:val="6"/>
    <w:qFormat/>
    <w:uiPriority w:val="0"/>
    <w:pPr>
      <w:numPr>
        <w:ilvl w:val="0"/>
        <w:numId w:val="0"/>
      </w:numPr>
      <w:adjustRightInd w:val="0"/>
      <w:snapToGrid w:val="0"/>
      <w:spacing w:before="280" w:beforeLines="0" w:beforeAutospacing="0" w:line="372" w:lineRule="auto"/>
    </w:pPr>
  </w:style>
  <w:style w:type="paragraph" w:customStyle="1" w:styleId="191">
    <w:name w:val="样式3"/>
    <w:basedOn w:val="3"/>
    <w:next w:val="3"/>
    <w:qFormat/>
    <w:uiPriority w:val="0"/>
    <w:pPr>
      <w:keepLines/>
      <w:tabs>
        <w:tab w:val="clear" w:pos="3360"/>
      </w:tabs>
      <w:adjustRightInd w:val="0"/>
      <w:spacing w:before="340" w:beforeLines="0" w:beforeAutospacing="0" w:after="330" w:afterLines="0" w:afterAutospacing="0" w:line="576" w:lineRule="auto"/>
      <w:jc w:val="both"/>
    </w:pPr>
    <w:rPr>
      <w:b/>
      <w:kern w:val="44"/>
    </w:rPr>
  </w:style>
  <w:style w:type="paragraph" w:customStyle="1" w:styleId="192">
    <w:name w:val="Item Step in Table"/>
    <w:qFormat/>
    <w:uiPriority w:val="0"/>
    <w:pPr>
      <w:numPr>
        <w:ilvl w:val="0"/>
        <w:numId w:val="15"/>
      </w:numPr>
      <w:spacing w:before="40" w:after="40"/>
      <w:jc w:val="both"/>
    </w:pPr>
    <w:rPr>
      <w:rFonts w:ascii="Arial" w:hAnsi="Arial" w:eastAsia="宋体" w:cs="Times New Roman"/>
      <w:sz w:val="18"/>
      <w:lang w:val="en-US" w:eastAsia="zh-CN" w:bidi="ar-SA"/>
    </w:rPr>
  </w:style>
  <w:style w:type="paragraph" w:customStyle="1" w:styleId="193">
    <w:name w:val="Note"/>
    <w:basedOn w:val="1"/>
    <w:qFormat/>
    <w:uiPriority w:val="0"/>
    <w:pPr>
      <w:pBdr>
        <w:top w:val="single" w:color="auto" w:sz="12" w:space="3"/>
        <w:bottom w:val="single" w:color="auto" w:sz="12" w:space="3"/>
      </w:pBdr>
      <w:spacing w:line="360" w:lineRule="auto"/>
    </w:pPr>
    <w:rPr>
      <w:sz w:val="24"/>
    </w:rPr>
  </w:style>
  <w:style w:type="paragraph" w:customStyle="1" w:styleId="194">
    <w:name w:val="Char"/>
    <w:basedOn w:val="1"/>
    <w:qFormat/>
    <w:uiPriority w:val="0"/>
    <w:pPr>
      <w:widowControl/>
      <w:spacing w:line="400" w:lineRule="exact"/>
      <w:jc w:val="center"/>
    </w:pPr>
    <w:rPr>
      <w:sz w:val="24"/>
    </w:rPr>
  </w:style>
  <w:style w:type="paragraph" w:styleId="1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196">
    <w:name w:val="List Paragraph"/>
    <w:basedOn w:val="1"/>
    <w:unhideWhenUsed/>
    <w:qFormat/>
    <w:uiPriority w:val="99"/>
    <w:pPr>
      <w:ind w:firstLine="420" w:firstLineChars="200"/>
    </w:pPr>
  </w:style>
  <w:style w:type="character" w:customStyle="1" w:styleId="197">
    <w:name w:val="标题 2 Char"/>
    <w:link w:val="4"/>
    <w:qFormat/>
    <w:uiPriority w:val="0"/>
    <w:rPr>
      <w:rFonts w:ascii="宋体" w:hAnsi="宋体"/>
      <w:kern w:val="2"/>
      <w:sz w:val="28"/>
    </w:rPr>
  </w:style>
  <w:style w:type="character" w:customStyle="1" w:styleId="198">
    <w:name w:val="批注文字 Char"/>
    <w:link w:val="20"/>
    <w:qFormat/>
    <w:uiPriority w:val="0"/>
    <w:rPr>
      <w:rFonts w:eastAsia="PMingLiU"/>
      <w:sz w:val="24"/>
      <w:lang w:eastAsia="zh-TW"/>
    </w:rPr>
  </w:style>
  <w:style w:type="character" w:customStyle="1" w:styleId="199">
    <w:name w:val="日期 Char"/>
    <w:link w:val="32"/>
    <w:qFormat/>
    <w:uiPriority w:val="0"/>
    <w:rPr>
      <w:kern w:val="2"/>
      <w:sz w:val="28"/>
    </w:rPr>
  </w:style>
  <w:style w:type="character" w:customStyle="1" w:styleId="200">
    <w:name w:val="font1"/>
    <w:qFormat/>
    <w:uiPriority w:val="0"/>
    <w:rPr>
      <w:color w:val="000000"/>
      <w:sz w:val="18"/>
    </w:rPr>
  </w:style>
  <w:style w:type="character" w:customStyle="1" w:styleId="201">
    <w:name w:val="Table Heading Char Char"/>
    <w:qFormat/>
    <w:uiPriority w:val="0"/>
    <w:rPr>
      <w:rFonts w:ascii="Arial" w:hAnsi="Arial" w:eastAsia="黑体"/>
      <w:kern w:val="2"/>
      <w:sz w:val="18"/>
      <w:lang w:val="en-US" w:eastAsia="zh-CN"/>
    </w:rPr>
  </w:style>
  <w:style w:type="character" w:customStyle="1" w:styleId="202">
    <w:name w:val="小 Char"/>
    <w:qFormat/>
    <w:uiPriority w:val="0"/>
    <w:rPr>
      <w:rFonts w:ascii="宋体" w:hAnsi="Courier New" w:eastAsia="宋体"/>
      <w:kern w:val="2"/>
      <w:sz w:val="21"/>
      <w:lang w:val="en-US" w:eastAsia="zh-CN" w:bidi="ar-SA"/>
    </w:rPr>
  </w:style>
  <w:style w:type="character" w:customStyle="1" w:styleId="203">
    <w:name w:val="top-det1"/>
    <w:qFormat/>
    <w:uiPriority w:val="0"/>
    <w:rPr>
      <w:b/>
      <w:color w:val="000000"/>
    </w:rPr>
  </w:style>
  <w:style w:type="character" w:customStyle="1" w:styleId="204">
    <w:name w:val=" Char Char5"/>
    <w:qFormat/>
    <w:uiPriority w:val="0"/>
    <w:rPr>
      <w:rFonts w:ascii="Arial" w:hAnsi="Arial" w:eastAsia="宋体"/>
      <w:b/>
      <w:smallCaps/>
      <w:kern w:val="28"/>
      <w:sz w:val="36"/>
      <w:lang w:val="en-US" w:eastAsia="en-US"/>
    </w:rPr>
  </w:style>
  <w:style w:type="character" w:customStyle="1" w:styleId="205">
    <w:name w:val="Table Text Char1 Char"/>
    <w:qFormat/>
    <w:uiPriority w:val="0"/>
    <w:rPr>
      <w:rFonts w:ascii="Arial" w:hAnsi="Arial"/>
      <w:kern w:val="2"/>
      <w:sz w:val="18"/>
      <w:lang w:val="en-US" w:eastAsia="zh-CN" w:bidi="ar-SA"/>
    </w:rPr>
  </w:style>
  <w:style w:type="character" w:customStyle="1" w:styleId="206">
    <w:name w:val="未命名11"/>
    <w:qFormat/>
    <w:uiPriority w:val="0"/>
    <w:rPr>
      <w:color w:val="77FFFF"/>
      <w:sz w:val="24"/>
    </w:rPr>
  </w:style>
  <w:style w:type="character" w:customStyle="1" w:styleId="207">
    <w:name w:val="content-white1"/>
    <w:qFormat/>
    <w:uiPriority w:val="0"/>
    <w:rPr>
      <w:rFonts w:ascii="_x000B__x000C_" w:hAnsi="_x000B__x000C_"/>
      <w:color w:val="auto"/>
      <w:sz w:val="18"/>
      <w:u w:val="none"/>
    </w:rPr>
  </w:style>
  <w:style w:type="character" w:customStyle="1" w:styleId="208">
    <w:name w:val=" Char Char6"/>
    <w:qFormat/>
    <w:uiPriority w:val="0"/>
    <w:rPr>
      <w:rFonts w:ascii="仿宋_GB2312" w:eastAsia="仿宋_GB2312"/>
      <w:kern w:val="2"/>
      <w:sz w:val="32"/>
    </w:rPr>
  </w:style>
  <w:style w:type="character" w:customStyle="1" w:styleId="209">
    <w:name w:val="文字 Char"/>
    <w:link w:val="69"/>
    <w:qFormat/>
    <w:uiPriority w:val="0"/>
    <w:rPr>
      <w:rFonts w:ascii="宋体" w:eastAsia="宋体"/>
      <w:kern w:val="2"/>
      <w:sz w:val="28"/>
      <w:lang w:val="en-US" w:eastAsia="zh-CN" w:bidi="ar-SA"/>
    </w:rPr>
  </w:style>
  <w:style w:type="character" w:customStyle="1" w:styleId="210">
    <w:name w:val="正文 + 三号 Char"/>
    <w:qFormat/>
    <w:uiPriority w:val="0"/>
    <w:rPr>
      <w:rFonts w:eastAsia="宋体"/>
      <w:kern w:val="2"/>
      <w:sz w:val="21"/>
      <w:lang w:val="en-US" w:eastAsia="zh-CN"/>
    </w:rPr>
  </w:style>
  <w:style w:type="character" w:customStyle="1" w:styleId="211">
    <w:name w:val="font11"/>
    <w:qFormat/>
    <w:uiPriority w:val="0"/>
    <w:rPr>
      <w:rFonts w:hint="eastAsia" w:ascii="宋体" w:hAnsi="宋体" w:eastAsia="宋体" w:cs="宋体"/>
      <w:color w:val="000000"/>
      <w:sz w:val="20"/>
      <w:szCs w:val="20"/>
      <w:u w:val="none"/>
    </w:rPr>
  </w:style>
  <w:style w:type="character" w:customStyle="1" w:styleId="212">
    <w:name w:val="样式 宋体"/>
    <w:qFormat/>
    <w:uiPriority w:val="0"/>
    <w:rPr>
      <w:rFonts w:ascii="宋体" w:hAnsi="宋体" w:eastAsia="宋体"/>
      <w:sz w:val="28"/>
    </w:rPr>
  </w:style>
  <w:style w:type="character" w:customStyle="1" w:styleId="213">
    <w:name w:val=" Char Char"/>
    <w:qFormat/>
    <w:uiPriority w:val="0"/>
    <w:rPr>
      <w:rFonts w:ascii="宋体" w:hAnsi="宋体" w:eastAsia="宋体"/>
      <w:kern w:val="2"/>
      <w:sz w:val="24"/>
      <w:lang w:val="en-US" w:eastAsia="zh-CN" w:bidi="ar-SA"/>
    </w:rPr>
  </w:style>
  <w:style w:type="character" w:customStyle="1" w:styleId="214">
    <w:name w:val="v151"/>
    <w:qFormat/>
    <w:uiPriority w:val="0"/>
    <w:rPr>
      <w:sz w:val="18"/>
    </w:rPr>
  </w:style>
  <w:style w:type="character" w:customStyle="1" w:styleId="215">
    <w:name w:val="标书正文:  0.74 厘米 Char1"/>
    <w:qFormat/>
    <w:uiPriority w:val="0"/>
    <w:rPr>
      <w:rFonts w:eastAsia="宋体"/>
      <w:kern w:val="2"/>
      <w:sz w:val="24"/>
      <w:lang w:val="en-US" w:eastAsia="zh-CN"/>
    </w:rPr>
  </w:style>
  <w:style w:type="character" w:customStyle="1" w:styleId="216">
    <w:name w:val="Table Text Char Char Char Char"/>
    <w:qFormat/>
    <w:uiPriority w:val="0"/>
    <w:rPr>
      <w:rFonts w:ascii="Arial" w:hAnsi="Arial"/>
      <w:kern w:val="2"/>
      <w:sz w:val="18"/>
      <w:lang w:val="en-US" w:eastAsia="zh-CN" w:bidi="ar-SA"/>
    </w:rPr>
  </w:style>
  <w:style w:type="character" w:customStyle="1" w:styleId="217">
    <w:name w:val=" Char Char3"/>
    <w:qFormat/>
    <w:uiPriority w:val="0"/>
    <w:rPr>
      <w:rFonts w:eastAsia="宋体"/>
      <w:kern w:val="2"/>
      <w:sz w:val="18"/>
      <w:lang w:val="en-US" w:eastAsia="zh-CN"/>
    </w:rPr>
  </w:style>
  <w:style w:type="character" w:customStyle="1" w:styleId="218">
    <w:name w:val=" Char Char2"/>
    <w:qFormat/>
    <w:uiPriority w:val="0"/>
    <w:rPr>
      <w:rFonts w:eastAsia="宋体"/>
      <w:kern w:val="2"/>
      <w:sz w:val="18"/>
      <w:lang w:val="en-US" w:eastAsia="zh-CN"/>
    </w:rPr>
  </w:style>
  <w:style w:type="character" w:customStyle="1" w:styleId="219">
    <w:name w:val="crowed11"/>
    <w:qFormat/>
    <w:uiPriority w:val="0"/>
    <w:rPr>
      <w:rFonts w:hint="default" w:ascii="_x000B__x000C_" w:hAnsi="_x000B__x000C_"/>
      <w:sz w:val="24"/>
    </w:rPr>
  </w:style>
  <w:style w:type="character" w:customStyle="1" w:styleId="220">
    <w:name w:val="Table Text Char"/>
    <w:qFormat/>
    <w:uiPriority w:val="0"/>
    <w:rPr>
      <w:rFonts w:ascii="Arial" w:hAnsi="Arial"/>
      <w:kern w:val="2"/>
      <w:sz w:val="18"/>
      <w:lang w:val="en-US" w:eastAsia="zh-CN" w:bidi="ar-SA"/>
    </w:rPr>
  </w:style>
  <w:style w:type="character" w:customStyle="1" w:styleId="221">
    <w:name w:val=" Char Char4"/>
    <w:qFormat/>
    <w:uiPriority w:val="0"/>
    <w:rPr>
      <w:rFonts w:eastAsia="宋体"/>
      <w:b/>
      <w:kern w:val="2"/>
      <w:sz w:val="21"/>
      <w:lang w:val="en-US" w:eastAsia="zh-CN"/>
    </w:rPr>
  </w:style>
  <w:style w:type="character" w:customStyle="1" w:styleId="222">
    <w:name w:val=" Char Char7"/>
    <w:qFormat/>
    <w:uiPriority w:val="0"/>
    <w:rPr>
      <w:rFonts w:ascii="宋体" w:hAnsi="宋体" w:eastAsia="宋体"/>
      <w:kern w:val="2"/>
      <w:sz w:val="28"/>
    </w:rPr>
  </w:style>
  <w:style w:type="character" w:customStyle="1" w:styleId="223">
    <w:name w:val="font31"/>
    <w:qFormat/>
    <w:uiPriority w:val="0"/>
    <w:rPr>
      <w:rFonts w:ascii="微软雅黑" w:hAnsi="微软雅黑" w:eastAsia="微软雅黑" w:cs="微软雅黑"/>
      <w:color w:val="000000"/>
      <w:sz w:val="20"/>
      <w:szCs w:val="20"/>
      <w:u w:val="none"/>
    </w:rPr>
  </w:style>
  <w:style w:type="character" w:customStyle="1" w:styleId="224">
    <w:name w:val="font51"/>
    <w:basedOn w:val="59"/>
    <w:qFormat/>
    <w:uiPriority w:val="0"/>
    <w:rPr>
      <w:rFonts w:hint="eastAsia" w:ascii="宋体" w:hAnsi="宋体" w:eastAsia="宋体" w:cs="宋体"/>
      <w:color w:val="000000"/>
      <w:sz w:val="20"/>
      <w:szCs w:val="20"/>
      <w:u w:val="none"/>
    </w:rPr>
  </w:style>
  <w:style w:type="character" w:customStyle="1" w:styleId="225">
    <w:name w:val="font101"/>
    <w:basedOn w:val="59"/>
    <w:qFormat/>
    <w:uiPriority w:val="0"/>
    <w:rPr>
      <w:rFonts w:hint="eastAsia" w:ascii="宋体" w:hAnsi="宋体" w:eastAsia="宋体" w:cs="宋体"/>
      <w:color w:val="000000"/>
      <w:sz w:val="18"/>
      <w:szCs w:val="18"/>
      <w:u w:val="none"/>
    </w:rPr>
  </w:style>
  <w:style w:type="character" w:customStyle="1" w:styleId="226">
    <w:name w:val="font21"/>
    <w:basedOn w:val="59"/>
    <w:qFormat/>
    <w:uiPriority w:val="0"/>
    <w:rPr>
      <w:rFonts w:hint="eastAsia" w:ascii="宋体" w:hAnsi="宋体" w:eastAsia="宋体" w:cs="宋体"/>
      <w:color w:val="000000"/>
      <w:sz w:val="20"/>
      <w:szCs w:val="20"/>
      <w:u w:val="none"/>
    </w:rPr>
  </w:style>
  <w:style w:type="character" w:customStyle="1" w:styleId="227">
    <w:name w:val="font41"/>
    <w:basedOn w:val="59"/>
    <w:qFormat/>
    <w:uiPriority w:val="0"/>
    <w:rPr>
      <w:rFonts w:hint="default" w:ascii="Times New Roman" w:hAnsi="Times New Roman" w:cs="Times New Roman"/>
      <w:color w:val="000000"/>
      <w:sz w:val="20"/>
      <w:szCs w:val="20"/>
      <w:u w:val="none"/>
    </w:rPr>
  </w:style>
  <w:style w:type="character" w:customStyle="1" w:styleId="228">
    <w:name w:val="font81"/>
    <w:basedOn w:val="59"/>
    <w:uiPriority w:val="0"/>
    <w:rPr>
      <w:rFonts w:hint="eastAsia" w:ascii="宋体" w:hAnsi="宋体" w:eastAsia="宋体" w:cs="宋体"/>
      <w:b/>
      <w:bCs/>
      <w:color w:val="000000"/>
      <w:sz w:val="36"/>
      <w:szCs w:val="36"/>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14470</Words>
  <Characters>18304</Characters>
  <Lines>287</Lines>
  <Paragraphs>81</Paragraphs>
  <TotalTime>8</TotalTime>
  <ScaleCrop>false</ScaleCrop>
  <LinksUpToDate>false</LinksUpToDate>
  <CharactersWithSpaces>19859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2020-09-08T13:50:00Z</dcterms:created>
  <dc:creator>admin</dc:creator>
  <cp:lastModifiedBy>唐银瑶</cp:lastModifiedBy>
  <cp:lastPrinted>2021-05-12T06:56:00Z</cp:lastPrinted>
  <dcterms:modified xsi:type="dcterms:W3CDTF">2023-06-14T02:18:24Z</dcterms:modified>
  <dc:title>货物</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9058C8D5B69B48579DB23797AC960BC3_13</vt:lpwstr>
  </property>
  <property fmtid="{D5CDD505-2E9C-101B-9397-08002B2CF9AE}" pid="4" name="KSOSaveFontToCloudKey">
    <vt:lpwstr>298908560_btnclosed</vt:lpwstr>
  </property>
</Properties>
</file>