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0"/>
        </w:tabs>
        <w:kinsoku/>
        <w:wordWrap/>
        <w:overflowPunct/>
        <w:topLinePunct w:val="0"/>
        <w:autoSpaceDE/>
        <w:autoSpaceDN/>
        <w:bidi w:val="0"/>
        <w:adjustRightInd/>
        <w:snapToGrid/>
        <w:spacing w:line="480" w:lineRule="auto"/>
        <w:ind w:left="0" w:leftChars="0" w:firstLine="0" w:firstLineChars="0"/>
        <w:jc w:val="left"/>
        <w:textAlignment w:val="auto"/>
        <w:rPr>
          <w:rFonts w:hint="eastAsia" w:ascii="仿宋" w:hAnsi="仿宋" w:eastAsia="仿宋" w:cs="仿宋"/>
          <w:b/>
          <w:bCs w:val="0"/>
          <w:spacing w:val="-17"/>
          <w:sz w:val="32"/>
          <w:szCs w:val="32"/>
          <w:lang w:val="en-US" w:eastAsia="zh-CN"/>
        </w:rPr>
      </w:pPr>
      <w:r>
        <w:rPr>
          <w:rFonts w:hint="eastAsia" w:ascii="仿宋" w:hAnsi="仿宋" w:eastAsia="仿宋" w:cs="仿宋"/>
          <w:b/>
          <w:bCs w:val="0"/>
          <w:spacing w:val="-17"/>
          <w:sz w:val="32"/>
          <w:szCs w:val="32"/>
          <w:lang w:val="en-US" w:eastAsia="zh-CN"/>
        </w:rPr>
        <w:t>项目名称：酉阳县菖蒲花田农旅融合示范项目-基础设施工程（给水工程）木材等材料采购</w:t>
      </w:r>
    </w:p>
    <w:p>
      <w:pPr>
        <w:keepNext w:val="0"/>
        <w:keepLines w:val="0"/>
        <w:pageBreakBefore w:val="0"/>
        <w:widowControl w:val="0"/>
        <w:tabs>
          <w:tab w:val="left" w:pos="0"/>
        </w:tabs>
        <w:kinsoku/>
        <w:wordWrap/>
        <w:overflowPunct/>
        <w:topLinePunct w:val="0"/>
        <w:autoSpaceDE/>
        <w:autoSpaceDN/>
        <w:bidi w:val="0"/>
        <w:adjustRightInd/>
        <w:snapToGrid/>
        <w:spacing w:line="480" w:lineRule="auto"/>
        <w:ind w:left="0" w:leftChars="0" w:firstLine="0" w:firstLineChars="0"/>
        <w:jc w:val="left"/>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招标项目编号：ZDYCNCT-2023-020</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700" w:lineRule="exact"/>
        <w:jc w:val="left"/>
        <w:textAlignment w:val="auto"/>
        <w:rPr>
          <w:rFonts w:hint="eastAsia" w:ascii="仿宋" w:hAnsi="仿宋" w:eastAsia="仿宋" w:cs="仿宋"/>
          <w:b w:val="0"/>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472" w:right="-1179" w:rightChars="-421" w:hanging="470" w:hangingChars="147"/>
        <w:textAlignment w:val="auto"/>
        <w:rPr>
          <w:rFonts w:hint="eastAsia" w:ascii="仿宋" w:hAnsi="仿宋" w:eastAsia="仿宋" w:cs="仿宋"/>
          <w:b w:val="0"/>
          <w:bCs/>
          <w:sz w:val="32"/>
          <w:szCs w:val="32"/>
          <w:lang w:val="en-US"/>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rPr>
      </w:pPr>
      <w:r>
        <w:rPr>
          <w:rFonts w:hint="eastAsia" w:ascii="仿宋" w:hAnsi="仿宋" w:eastAsia="仿宋" w:cs="仿宋"/>
          <w:b/>
          <w:bCs w:val="0"/>
          <w:sz w:val="144"/>
          <w:szCs w:val="144"/>
          <w:lang w:eastAsia="zh-CN"/>
        </w:rPr>
        <w:t>招</w:t>
      </w:r>
      <w:r>
        <w:rPr>
          <w:rFonts w:hint="eastAsia" w:ascii="仿宋" w:hAnsi="仿宋" w:eastAsia="仿宋" w:cs="仿宋"/>
          <w:b/>
          <w:bCs w:val="0"/>
          <w:sz w:val="144"/>
          <w:szCs w:val="144"/>
          <w:lang w:val="en-US" w:eastAsia="zh-CN"/>
        </w:rPr>
        <w:t xml:space="preserve"> </w:t>
      </w:r>
      <w:r>
        <w:rPr>
          <w:rFonts w:hint="eastAsia" w:ascii="仿宋" w:hAnsi="仿宋" w:eastAsia="仿宋" w:cs="仿宋"/>
          <w:b/>
          <w:bCs w:val="0"/>
          <w:sz w:val="144"/>
          <w:szCs w:val="144"/>
          <w:lang w:eastAsia="zh-CN"/>
        </w:rPr>
        <w:t>标</w:t>
      </w:r>
      <w:r>
        <w:rPr>
          <w:rFonts w:hint="eastAsia" w:ascii="仿宋" w:hAnsi="仿宋" w:eastAsia="仿宋" w:cs="仿宋"/>
          <w:b/>
          <w:bCs w:val="0"/>
          <w:sz w:val="144"/>
          <w:szCs w:val="144"/>
          <w:lang w:val="en-US" w:eastAsia="zh-CN"/>
        </w:rPr>
        <w:t xml:space="preserve"> </w:t>
      </w:r>
      <w:r>
        <w:rPr>
          <w:rFonts w:hint="eastAsia" w:ascii="仿宋" w:hAnsi="仿宋" w:eastAsia="仿宋" w:cs="仿宋"/>
          <w:b/>
          <w:bCs w:val="0"/>
          <w:sz w:val="144"/>
          <w:szCs w:val="144"/>
          <w:lang w:eastAsia="zh-CN"/>
        </w:rPr>
        <w:t>文</w:t>
      </w:r>
      <w:r>
        <w:rPr>
          <w:rFonts w:hint="eastAsia" w:ascii="仿宋" w:hAnsi="仿宋" w:eastAsia="仿宋" w:cs="仿宋"/>
          <w:b/>
          <w:bCs w:val="0"/>
          <w:sz w:val="144"/>
          <w:szCs w:val="144"/>
          <w:lang w:val="en-US" w:eastAsia="zh-CN"/>
        </w:rPr>
        <w:t xml:space="preserve"> </w:t>
      </w:r>
      <w:r>
        <w:rPr>
          <w:rFonts w:hint="eastAsia" w:ascii="仿宋" w:hAnsi="仿宋" w:eastAsia="仿宋" w:cs="仿宋"/>
          <w:b/>
          <w:bCs w:val="0"/>
          <w:sz w:val="144"/>
          <w:szCs w:val="144"/>
          <w:lang w:eastAsia="zh-CN"/>
        </w:rPr>
        <w:t>件</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b w:val="0"/>
          <w:bCs/>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b w:val="0"/>
          <w:bCs/>
          <w:sz w:val="36"/>
          <w:szCs w:val="36"/>
        </w:rPr>
      </w:pPr>
      <w:r>
        <w:rPr>
          <w:rFonts w:hint="eastAsia" w:ascii="仿宋" w:hAnsi="仿宋" w:eastAsia="仿宋" w:cs="仿宋"/>
          <w:b w:val="0"/>
          <w:bCs/>
          <w:sz w:val="36"/>
          <w:szCs w:val="36"/>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仿宋" w:hAnsi="仿宋" w:eastAsia="仿宋" w:cs="仿宋"/>
          <w:b/>
          <w:bCs w:val="0"/>
          <w:sz w:val="32"/>
          <w:szCs w:val="32"/>
          <w:lang w:eastAsia="zh-CN"/>
        </w:rPr>
      </w:pPr>
      <w:bookmarkStart w:id="0" w:name="_Toc429559903"/>
      <w:bookmarkStart w:id="1" w:name="_Toc429553088"/>
      <w:bookmarkStart w:id="2" w:name="_Toc476231623"/>
      <w:bookmarkStart w:id="3" w:name="_Toc429558929"/>
      <w:bookmarkStart w:id="4" w:name="_Toc26874"/>
      <w:bookmarkStart w:id="5" w:name="_Toc13559"/>
      <w:bookmarkStart w:id="6" w:name="_Toc8942"/>
      <w:r>
        <w:rPr>
          <w:rFonts w:hint="eastAsia" w:ascii="仿宋" w:hAnsi="仿宋" w:eastAsia="仿宋" w:cs="仿宋"/>
          <w:b/>
          <w:bCs w:val="0"/>
          <w:sz w:val="32"/>
          <w:szCs w:val="32"/>
          <w:lang w:eastAsia="zh-CN"/>
        </w:rPr>
        <w:t>招标人</w:t>
      </w:r>
      <w:r>
        <w:rPr>
          <w:rFonts w:hint="eastAsia" w:ascii="仿宋" w:hAnsi="仿宋" w:eastAsia="仿宋" w:cs="仿宋"/>
          <w:b/>
          <w:bCs w:val="0"/>
          <w:sz w:val="32"/>
          <w:szCs w:val="32"/>
        </w:rPr>
        <w:t>：</w:t>
      </w:r>
      <w:bookmarkEnd w:id="0"/>
      <w:bookmarkEnd w:id="1"/>
      <w:bookmarkEnd w:id="2"/>
      <w:bookmarkEnd w:id="3"/>
      <w:r>
        <w:rPr>
          <w:rFonts w:hint="eastAsia" w:ascii="仿宋" w:hAnsi="仿宋" w:eastAsia="仿宋" w:cs="仿宋"/>
          <w:b/>
          <w:bCs w:val="0"/>
          <w:sz w:val="32"/>
          <w:szCs w:val="32"/>
          <w:lang w:eastAsia="zh-CN"/>
        </w:rPr>
        <w:t>重庆市南鸿建筑工程有限责任公司</w:t>
      </w:r>
      <w:bookmarkEnd w:id="4"/>
      <w:bookmarkEnd w:id="5"/>
      <w:bookmarkEnd w:id="6"/>
      <w:r>
        <w:rPr>
          <w:rFonts w:hint="eastAsia" w:ascii="仿宋" w:hAnsi="仿宋" w:eastAsia="仿宋" w:cs="仿宋"/>
          <w:b/>
          <w:bCs w:val="0"/>
          <w:sz w:val="32"/>
          <w:szCs w:val="32"/>
          <w:lang w:eastAsia="zh-CN"/>
        </w:rPr>
        <w:t>（盖章）</w:t>
      </w:r>
    </w:p>
    <w:p>
      <w:pPr>
        <w:keepNext w:val="0"/>
        <w:keepLines w:val="0"/>
        <w:pageBreakBefore w:val="0"/>
        <w:widowControl w:val="0"/>
        <w:tabs>
          <w:tab w:val="left" w:pos="0"/>
        </w:tabs>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rPr>
        <w:t>采购代理机构：</w:t>
      </w:r>
      <w:r>
        <w:rPr>
          <w:rFonts w:hint="eastAsia" w:ascii="仿宋" w:hAnsi="仿宋" w:eastAsia="仿宋" w:cs="仿宋"/>
          <w:b/>
          <w:bCs w:val="0"/>
          <w:sz w:val="32"/>
          <w:szCs w:val="32"/>
          <w:lang w:eastAsia="zh-CN"/>
        </w:rPr>
        <w:t>中大宇辰项目管理有限公司（盖章）</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val="0"/>
          <w:bCs/>
          <w:sz w:val="32"/>
          <w:szCs w:val="32"/>
        </w:rPr>
      </w:pPr>
      <w:r>
        <w:rPr>
          <w:rFonts w:hint="eastAsia" w:ascii="仿宋" w:hAnsi="仿宋" w:eastAsia="仿宋" w:cs="仿宋"/>
          <w:b/>
          <w:bCs w:val="0"/>
          <w:sz w:val="32"/>
          <w:szCs w:val="32"/>
        </w:rPr>
        <w:t>二〇二</w:t>
      </w:r>
      <w:r>
        <w:rPr>
          <w:rFonts w:hint="eastAsia" w:ascii="仿宋" w:hAnsi="仿宋" w:eastAsia="仿宋" w:cs="仿宋"/>
          <w:b/>
          <w:bCs w:val="0"/>
          <w:sz w:val="32"/>
          <w:szCs w:val="32"/>
          <w:lang w:eastAsia="zh-CN"/>
        </w:rPr>
        <w:t>三</w:t>
      </w:r>
      <w:r>
        <w:rPr>
          <w:rFonts w:hint="eastAsia" w:ascii="仿宋" w:hAnsi="仿宋" w:eastAsia="仿宋" w:cs="仿宋"/>
          <w:b/>
          <w:bCs w:val="0"/>
          <w:sz w:val="32"/>
          <w:szCs w:val="32"/>
        </w:rPr>
        <w:t>年</w:t>
      </w:r>
      <w:r>
        <w:rPr>
          <w:rFonts w:hint="eastAsia" w:ascii="仿宋" w:hAnsi="仿宋" w:eastAsia="仿宋" w:cs="仿宋"/>
          <w:b/>
          <w:bCs w:val="0"/>
          <w:sz w:val="32"/>
          <w:szCs w:val="32"/>
          <w:lang w:val="en-US" w:eastAsia="zh-CN"/>
        </w:rPr>
        <w:t>六</w:t>
      </w:r>
      <w:r>
        <w:rPr>
          <w:rFonts w:hint="eastAsia" w:ascii="仿宋" w:hAnsi="仿宋" w:eastAsia="仿宋" w:cs="仿宋"/>
          <w:b/>
          <w:bCs w:val="0"/>
          <w:sz w:val="32"/>
          <w:szCs w:val="32"/>
        </w:rPr>
        <w:t>月</w:t>
      </w:r>
    </w:p>
    <w:p>
      <w:pPr>
        <w:spacing w:before="0" w:beforeLines="0" w:after="0" w:afterLines="0" w:line="240" w:lineRule="auto"/>
        <w:ind w:left="0" w:leftChars="0" w:right="0" w:rightChars="0" w:firstLine="0" w:firstLineChars="0"/>
        <w:jc w:val="center"/>
        <w:rPr>
          <w:rFonts w:hint="eastAsia" w:ascii="仿宋" w:hAnsi="仿宋" w:eastAsia="仿宋" w:cs="仿宋"/>
          <w:color w:val="auto"/>
          <w:kern w:val="2"/>
          <w:sz w:val="21"/>
          <w:lang w:val="en-US" w:eastAsia="zh-CN" w:bidi="ar-SA"/>
        </w:rPr>
        <w:sectPr>
          <w:headerReference r:id="rId3" w:type="default"/>
          <w:type w:val="nextColumn"/>
          <w:pgSz w:w="11907" w:h="16840"/>
          <w:pgMar w:top="1418" w:right="1191" w:bottom="1332" w:left="1276" w:header="964" w:footer="992" w:gutter="0"/>
          <w:pgNumType w:fmt="decimal"/>
          <w:cols w:space="720" w:num="1"/>
          <w:docGrid w:linePitch="380" w:charSpace="-5735"/>
        </w:sectPr>
      </w:pPr>
    </w:p>
    <w:sdt>
      <w:sdtPr>
        <w:rPr>
          <w:rFonts w:hint="eastAsia" w:ascii="仿宋" w:hAnsi="仿宋" w:eastAsia="仿宋" w:cs="仿宋"/>
          <w:color w:val="auto"/>
          <w:kern w:val="2"/>
          <w:sz w:val="21"/>
          <w:lang w:val="en-US" w:eastAsia="zh-CN" w:bidi="ar-SA"/>
        </w:rPr>
        <w:id w:val="147454260"/>
        <w15:color w:val="DBDBDB"/>
        <w:docPartObj>
          <w:docPartGallery w:val="Table of Contents"/>
          <w:docPartUnique/>
        </w:docPartObj>
      </w:sdtPr>
      <w:sdtEndPr>
        <w:rPr>
          <w:rFonts w:hint="eastAsia" w:ascii="仿宋" w:hAnsi="仿宋" w:eastAsia="仿宋" w:cs="仿宋"/>
          <w:bCs/>
          <w:color w:val="auto"/>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rPr>
          </w:pPr>
          <w:r>
            <w:rPr>
              <w:rFonts w:hint="eastAsia" w:ascii="仿宋" w:hAnsi="仿宋" w:eastAsia="仿宋" w:cs="仿宋"/>
              <w:b/>
              <w:bCs/>
              <w:color w:val="auto"/>
              <w:sz w:val="36"/>
              <w:szCs w:val="36"/>
            </w:rPr>
            <w:t>目录</w:t>
          </w:r>
        </w:p>
        <w:p>
          <w:pPr>
            <w:pStyle w:val="223"/>
            <w:tabs>
              <w:tab w:val="right" w:leader="dot" w:pos="9440"/>
            </w:tabs>
            <w:rPr>
              <w:rFonts w:hint="eastAsia" w:ascii="仿宋" w:hAnsi="仿宋" w:eastAsia="仿宋" w:cs="仿宋"/>
              <w:color w:val="auto"/>
            </w:rPr>
          </w:pPr>
          <w:r>
            <w:rPr>
              <w:rFonts w:hint="eastAsia" w:ascii="仿宋" w:hAnsi="仿宋" w:eastAsia="仿宋" w:cs="仿宋"/>
              <w:b/>
              <w:bCs/>
              <w:color w:val="auto"/>
              <w:sz w:val="44"/>
              <w:szCs w:val="44"/>
            </w:rPr>
            <w:fldChar w:fldCharType="begin"/>
          </w:r>
          <w:r>
            <w:rPr>
              <w:rFonts w:hint="eastAsia" w:ascii="仿宋" w:hAnsi="仿宋" w:eastAsia="仿宋" w:cs="仿宋"/>
              <w:b/>
              <w:bCs/>
              <w:color w:val="auto"/>
              <w:sz w:val="44"/>
              <w:szCs w:val="44"/>
            </w:rPr>
            <w:instrText xml:space="preserve">TOC \o "1-1" \h \u </w:instrText>
          </w:r>
          <w:r>
            <w:rPr>
              <w:rFonts w:hint="eastAsia" w:ascii="仿宋" w:hAnsi="仿宋" w:eastAsia="仿宋" w:cs="仿宋"/>
              <w:b/>
              <w:bCs/>
              <w:color w:val="auto"/>
              <w:sz w:val="44"/>
              <w:szCs w:val="44"/>
            </w:rPr>
            <w:fldChar w:fldCharType="separate"/>
          </w:r>
        </w:p>
        <w:p>
          <w:pPr>
            <w:pStyle w:val="223"/>
            <w:tabs>
              <w:tab w:val="right" w:leader="dot" w:pos="9440"/>
            </w:tabs>
            <w:spacing w:line="480" w:lineRule="auto"/>
            <w:rPr>
              <w:rFonts w:hint="eastAsia" w:ascii="仿宋" w:hAnsi="仿宋" w:eastAsia="仿宋" w:cs="仿宋"/>
              <w:color w:val="auto"/>
              <w:sz w:val="28"/>
              <w:szCs w:val="28"/>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_Toc3994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rPr>
            <w:t xml:space="preserve">第一篇  </w:t>
          </w:r>
          <w:r>
            <w:rPr>
              <w:rFonts w:hint="eastAsia" w:ascii="仿宋" w:hAnsi="仿宋" w:eastAsia="仿宋" w:cs="仿宋"/>
              <w:bCs/>
              <w:color w:val="auto"/>
              <w:sz w:val="28"/>
              <w:szCs w:val="28"/>
              <w:lang w:eastAsia="zh-CN"/>
            </w:rPr>
            <w:t>采购邀请书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_Toc3994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bCs/>
              <w:color w:val="auto"/>
              <w:sz w:val="28"/>
              <w:szCs w:val="28"/>
            </w:rPr>
            <w:fldChar w:fldCharType="end"/>
          </w:r>
        </w:p>
        <w:p>
          <w:pPr>
            <w:pStyle w:val="223"/>
            <w:tabs>
              <w:tab w:val="right" w:leader="dot" w:pos="9440"/>
            </w:tabs>
            <w:spacing w:line="480" w:lineRule="auto"/>
            <w:rPr>
              <w:rFonts w:hint="eastAsia" w:ascii="仿宋" w:hAnsi="仿宋" w:eastAsia="仿宋" w:cs="仿宋"/>
              <w:color w:val="auto"/>
              <w:sz w:val="28"/>
              <w:szCs w:val="28"/>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_Toc27084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rPr>
            <w:t xml:space="preserve">第二篇  </w:t>
          </w:r>
          <w:r>
            <w:rPr>
              <w:rFonts w:hint="eastAsia" w:ascii="仿宋" w:hAnsi="仿宋" w:eastAsia="仿宋" w:cs="仿宋"/>
              <w:bCs/>
              <w:color w:val="auto"/>
              <w:sz w:val="28"/>
              <w:szCs w:val="28"/>
              <w:lang w:eastAsia="zh-CN"/>
            </w:rPr>
            <w:t>项目技术规格、数量及质量要求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_Toc27084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bCs/>
              <w:color w:val="auto"/>
              <w:sz w:val="28"/>
              <w:szCs w:val="28"/>
            </w:rPr>
            <w:fldChar w:fldCharType="end"/>
          </w:r>
        </w:p>
        <w:p>
          <w:pPr>
            <w:pStyle w:val="223"/>
            <w:tabs>
              <w:tab w:val="right" w:leader="dot" w:pos="9440"/>
            </w:tabs>
            <w:spacing w:line="480" w:lineRule="auto"/>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_Toc24704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rPr>
            <w:t>第三篇  项目商务要求</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1</w:t>
          </w:r>
          <w:r>
            <w:rPr>
              <w:rFonts w:hint="eastAsia" w:ascii="仿宋" w:hAnsi="仿宋" w:eastAsia="仿宋" w:cs="仿宋"/>
              <w:bCs/>
              <w:color w:val="auto"/>
              <w:sz w:val="28"/>
              <w:szCs w:val="28"/>
            </w:rPr>
            <w:fldChar w:fldCharType="end"/>
          </w:r>
          <w:r>
            <w:rPr>
              <w:rFonts w:hint="eastAsia" w:ascii="仿宋" w:hAnsi="仿宋" w:eastAsia="仿宋" w:cs="仿宋"/>
              <w:bCs/>
              <w:color w:val="auto"/>
              <w:sz w:val="28"/>
              <w:szCs w:val="28"/>
              <w:lang w:val="en-US" w:eastAsia="zh-CN"/>
            </w:rPr>
            <w:t>8</w:t>
          </w:r>
        </w:p>
        <w:p>
          <w:pPr>
            <w:pStyle w:val="223"/>
            <w:tabs>
              <w:tab w:val="right" w:leader="dot" w:pos="9440"/>
            </w:tabs>
            <w:spacing w:line="480" w:lineRule="auto"/>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_Toc30889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rPr>
            <w:t>第四篇  资格审查及评标办法</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2</w:t>
          </w:r>
          <w:r>
            <w:rPr>
              <w:rFonts w:hint="eastAsia" w:ascii="仿宋" w:hAnsi="仿宋" w:eastAsia="仿宋" w:cs="仿宋"/>
              <w:bCs/>
              <w:color w:val="auto"/>
              <w:sz w:val="28"/>
              <w:szCs w:val="28"/>
            </w:rPr>
            <w:fldChar w:fldCharType="end"/>
          </w:r>
          <w:r>
            <w:rPr>
              <w:rFonts w:hint="eastAsia" w:ascii="仿宋" w:hAnsi="仿宋" w:eastAsia="仿宋" w:cs="仿宋"/>
              <w:bCs/>
              <w:color w:val="auto"/>
              <w:sz w:val="28"/>
              <w:szCs w:val="28"/>
              <w:lang w:val="en-US" w:eastAsia="zh-CN"/>
            </w:rPr>
            <w:t>1</w:t>
          </w:r>
        </w:p>
        <w:p>
          <w:pPr>
            <w:pStyle w:val="223"/>
            <w:tabs>
              <w:tab w:val="right" w:leader="dot" w:pos="9440"/>
            </w:tabs>
            <w:spacing w:line="480" w:lineRule="auto"/>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_Toc16891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rPr>
            <w:t>第五篇  投标人须知</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2</w:t>
          </w:r>
          <w:r>
            <w:rPr>
              <w:rFonts w:hint="eastAsia" w:ascii="仿宋" w:hAnsi="仿宋" w:eastAsia="仿宋" w:cs="仿宋"/>
              <w:bCs/>
              <w:color w:val="auto"/>
              <w:sz w:val="28"/>
              <w:szCs w:val="28"/>
            </w:rPr>
            <w:fldChar w:fldCharType="end"/>
          </w:r>
          <w:r>
            <w:rPr>
              <w:rFonts w:hint="eastAsia" w:ascii="仿宋" w:hAnsi="仿宋" w:eastAsia="仿宋" w:cs="仿宋"/>
              <w:bCs/>
              <w:color w:val="auto"/>
              <w:sz w:val="28"/>
              <w:szCs w:val="28"/>
              <w:lang w:val="en-US" w:eastAsia="zh-CN"/>
            </w:rPr>
            <w:t>5</w:t>
          </w:r>
        </w:p>
        <w:p>
          <w:pPr>
            <w:pStyle w:val="223"/>
            <w:tabs>
              <w:tab w:val="right" w:leader="dot" w:pos="9440"/>
            </w:tabs>
            <w:spacing w:line="480" w:lineRule="auto"/>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_Toc5979 </w:instrText>
          </w:r>
          <w:r>
            <w:rPr>
              <w:rFonts w:hint="eastAsia" w:ascii="仿宋" w:hAnsi="仿宋" w:eastAsia="仿宋" w:cs="仿宋"/>
              <w:bCs/>
              <w:color w:val="auto"/>
              <w:sz w:val="28"/>
              <w:szCs w:val="28"/>
            </w:rPr>
            <w:fldChar w:fldCharType="separate"/>
          </w:r>
          <w:r>
            <w:rPr>
              <w:rFonts w:hint="eastAsia" w:ascii="仿宋" w:hAnsi="仿宋" w:eastAsia="仿宋" w:cs="仿宋"/>
              <w:color w:val="auto"/>
              <w:sz w:val="28"/>
              <w:szCs w:val="28"/>
            </w:rPr>
            <w:t>第六篇  合同主要条款和格式合同（样本）</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3</w:t>
          </w:r>
          <w:r>
            <w:rPr>
              <w:rFonts w:hint="eastAsia" w:ascii="仿宋" w:hAnsi="仿宋" w:eastAsia="仿宋" w:cs="仿宋"/>
              <w:bCs/>
              <w:color w:val="auto"/>
              <w:sz w:val="28"/>
              <w:szCs w:val="28"/>
            </w:rPr>
            <w:fldChar w:fldCharType="end"/>
          </w:r>
          <w:r>
            <w:rPr>
              <w:rFonts w:hint="eastAsia" w:ascii="仿宋" w:hAnsi="仿宋" w:eastAsia="仿宋" w:cs="仿宋"/>
              <w:bCs/>
              <w:color w:val="auto"/>
              <w:sz w:val="28"/>
              <w:szCs w:val="28"/>
              <w:lang w:val="en-US" w:eastAsia="zh-CN"/>
            </w:rPr>
            <w:t>0</w:t>
          </w:r>
        </w:p>
        <w:p>
          <w:pPr>
            <w:pStyle w:val="223"/>
            <w:tabs>
              <w:tab w:val="right" w:leader="dot" w:pos="9440"/>
            </w:tabs>
            <w:spacing w:line="480" w:lineRule="auto"/>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\l _Toc14475 </w:instrText>
          </w:r>
          <w:r>
            <w:rPr>
              <w:rFonts w:hint="eastAsia" w:ascii="仿宋" w:hAnsi="仿宋" w:eastAsia="仿宋" w:cs="仿宋"/>
              <w:bCs/>
              <w:color w:val="auto"/>
              <w:sz w:val="28"/>
              <w:szCs w:val="28"/>
            </w:rPr>
            <w:fldChar w:fldCharType="separate"/>
          </w:r>
          <w:r>
            <w:rPr>
              <w:rFonts w:hint="eastAsia" w:ascii="仿宋" w:hAnsi="仿宋" w:eastAsia="仿宋" w:cs="仿宋"/>
              <w:bCs/>
              <w:color w:val="auto"/>
              <w:sz w:val="28"/>
              <w:szCs w:val="28"/>
              <w:lang w:val="en-US" w:eastAsia="zh-CN"/>
            </w:rPr>
            <w:t>第七篇  投标文件格式</w:t>
          </w:r>
          <w:r>
            <w:rPr>
              <w:rFonts w:hint="eastAsia" w:ascii="仿宋" w:hAnsi="仿宋" w:eastAsia="仿宋" w:cs="仿宋"/>
              <w:color w:val="auto"/>
              <w:sz w:val="28"/>
              <w:szCs w:val="28"/>
            </w:rPr>
            <w:tab/>
          </w:r>
          <w:r>
            <w:rPr>
              <w:rFonts w:hint="eastAsia" w:ascii="仿宋" w:hAnsi="仿宋" w:eastAsia="仿宋" w:cs="仿宋"/>
              <w:color w:val="auto"/>
              <w:sz w:val="28"/>
              <w:szCs w:val="28"/>
              <w:lang w:val="en-US" w:eastAsia="zh-CN"/>
            </w:rPr>
            <w:t>3</w:t>
          </w:r>
          <w:r>
            <w:rPr>
              <w:rFonts w:hint="eastAsia" w:ascii="仿宋" w:hAnsi="仿宋" w:eastAsia="仿宋" w:cs="仿宋"/>
              <w:bCs/>
              <w:color w:val="auto"/>
              <w:sz w:val="28"/>
              <w:szCs w:val="28"/>
            </w:rPr>
            <w:fldChar w:fldCharType="end"/>
          </w:r>
          <w:r>
            <w:rPr>
              <w:rFonts w:hint="eastAsia" w:ascii="仿宋" w:hAnsi="仿宋" w:eastAsia="仿宋" w:cs="仿宋"/>
              <w:bCs/>
              <w:color w:val="auto"/>
              <w:sz w:val="28"/>
              <w:szCs w:val="28"/>
              <w:lang w:val="en-US" w:eastAsia="zh-CN"/>
            </w:rPr>
            <w:t>1</w:t>
          </w:r>
        </w:p>
        <w:p>
          <w:pPr>
            <w:pStyle w:val="223"/>
            <w:tabs>
              <w:tab w:val="right" w:leader="dot" w:pos="9440"/>
            </w:tabs>
            <w:spacing w:line="480" w:lineRule="auto"/>
            <w:rPr>
              <w:rFonts w:hint="eastAsia" w:ascii="仿宋" w:hAnsi="仿宋" w:eastAsia="仿宋" w:cs="仿宋"/>
              <w:color w:val="auto"/>
              <w:lang w:val="en-US" w:eastAsia="zh-CN"/>
            </w:rPr>
          </w:pPr>
        </w:p>
        <w:p>
          <w:pPr>
            <w:pStyle w:val="3"/>
            <w:spacing w:before="0" w:beforeLines="0" w:after="0" w:afterLines="0" w:line="240" w:lineRule="auto"/>
            <w:outlineLvl w:val="9"/>
            <w:rPr>
              <w:rFonts w:hint="eastAsia" w:ascii="仿宋" w:hAnsi="仿宋" w:eastAsia="仿宋" w:cs="仿宋"/>
              <w:b/>
              <w:bCs/>
              <w:color w:val="auto"/>
              <w:sz w:val="44"/>
              <w:szCs w:val="44"/>
            </w:rPr>
            <w:sectPr>
              <w:footerReference r:id="rId4" w:type="default"/>
              <w:pgSz w:w="11907" w:h="16840"/>
              <w:pgMar w:top="1418" w:right="1191" w:bottom="1332" w:left="1276" w:header="964" w:footer="992" w:gutter="0"/>
              <w:pgNumType w:fmt="decimal" w:start="1"/>
              <w:cols w:space="720" w:num="1"/>
              <w:docGrid w:linePitch="380" w:charSpace="-5735"/>
            </w:sectPr>
          </w:pPr>
          <w:r>
            <w:rPr>
              <w:rFonts w:hint="eastAsia" w:ascii="仿宋" w:hAnsi="仿宋" w:eastAsia="仿宋" w:cs="仿宋"/>
              <w:bCs/>
              <w:color w:val="auto"/>
              <w:szCs w:val="44"/>
            </w:rPr>
            <w:fldChar w:fldCharType="end"/>
          </w:r>
        </w:p>
      </w:sdtContent>
    </w:sdt>
    <w:p>
      <w:pPr>
        <w:pStyle w:val="3"/>
        <w:spacing w:before="0" w:beforeLines="0" w:after="0" w:afterLines="0" w:line="360" w:lineRule="auto"/>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rPr>
        <w:t xml:space="preserve"> </w:t>
      </w:r>
      <w:bookmarkStart w:id="7" w:name="_Toc429553090"/>
      <w:bookmarkStart w:id="8" w:name="_Toc423596028"/>
      <w:bookmarkStart w:id="9" w:name="_Toc429558931"/>
      <w:bookmarkStart w:id="10" w:name="_Toc10315"/>
      <w:bookmarkStart w:id="11" w:name="_Toc3994"/>
      <w:r>
        <w:rPr>
          <w:rFonts w:hint="eastAsia" w:ascii="仿宋" w:hAnsi="仿宋" w:eastAsia="仿宋" w:cs="仿宋"/>
          <w:b/>
          <w:bCs/>
          <w:color w:val="auto"/>
          <w:sz w:val="44"/>
          <w:szCs w:val="44"/>
        </w:rPr>
        <w:t xml:space="preserve">第一篇  </w:t>
      </w:r>
      <w:bookmarkEnd w:id="7"/>
      <w:bookmarkEnd w:id="8"/>
      <w:bookmarkEnd w:id="9"/>
      <w:bookmarkEnd w:id="10"/>
      <w:bookmarkEnd w:id="11"/>
      <w:r>
        <w:rPr>
          <w:rFonts w:hint="eastAsia" w:ascii="仿宋" w:hAnsi="仿宋" w:eastAsia="仿宋" w:cs="仿宋"/>
          <w:b/>
          <w:bCs/>
          <w:color w:val="auto"/>
          <w:sz w:val="44"/>
          <w:szCs w:val="44"/>
          <w:lang w:eastAsia="zh-CN"/>
        </w:rPr>
        <w:t>采购邀请书</w:t>
      </w:r>
    </w:p>
    <w:p>
      <w:pPr>
        <w:snapToGrid w:val="0"/>
        <w:spacing w:line="360" w:lineRule="auto"/>
        <w:ind w:firstLine="480" w:firstLineChars="200"/>
        <w:rPr>
          <w:rFonts w:hint="eastAsia" w:ascii="仿宋" w:hAnsi="仿宋" w:eastAsia="仿宋" w:cs="仿宋"/>
          <w:color w:val="auto"/>
          <w:sz w:val="24"/>
          <w:szCs w:val="24"/>
        </w:rPr>
      </w:pPr>
      <w:bookmarkStart w:id="12" w:name="_Hlk517258727"/>
      <w:r>
        <w:rPr>
          <w:rFonts w:hint="eastAsia" w:ascii="仿宋" w:hAnsi="仿宋" w:eastAsia="仿宋" w:cs="仿宋"/>
          <w:color w:val="auto"/>
          <w:sz w:val="24"/>
          <w:szCs w:val="24"/>
          <w:lang w:eastAsia="zh-CN"/>
        </w:rPr>
        <w:t>中大宇辰项目管理有限公司</w:t>
      </w:r>
      <w:r>
        <w:rPr>
          <w:rFonts w:hint="eastAsia" w:ascii="仿宋" w:hAnsi="仿宋" w:eastAsia="仿宋" w:cs="仿宋"/>
          <w:color w:val="auto"/>
          <w:sz w:val="24"/>
          <w:szCs w:val="24"/>
        </w:rPr>
        <w:t>受</w:t>
      </w:r>
      <w:r>
        <w:rPr>
          <w:rFonts w:hint="eastAsia" w:ascii="仿宋" w:hAnsi="仿宋" w:eastAsia="仿宋" w:cs="仿宋"/>
          <w:color w:val="auto"/>
          <w:sz w:val="24"/>
          <w:szCs w:val="24"/>
          <w:lang w:eastAsia="zh-CN"/>
        </w:rPr>
        <w:t>重庆市南鸿建筑工程有限责任公司</w:t>
      </w:r>
      <w:r>
        <w:rPr>
          <w:rFonts w:hint="eastAsia" w:ascii="仿宋" w:hAnsi="仿宋" w:eastAsia="仿宋" w:cs="仿宋"/>
          <w:color w:val="auto"/>
          <w:sz w:val="24"/>
          <w:szCs w:val="24"/>
        </w:rPr>
        <w:t>的委托</w:t>
      </w:r>
      <w:bookmarkEnd w:id="12"/>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酉阳县菖蒲花田农旅融合示范项目-基础设施工程（给水工程）木材等材料采购</w:t>
      </w:r>
      <w:r>
        <w:rPr>
          <w:rFonts w:hint="eastAsia" w:ascii="仿宋" w:hAnsi="仿宋" w:eastAsia="仿宋" w:cs="仿宋"/>
          <w:color w:val="auto"/>
          <w:sz w:val="24"/>
          <w:szCs w:val="24"/>
        </w:rPr>
        <w:t>进行公开招标，欢迎有资格的投标人参加投标。</w:t>
      </w:r>
    </w:p>
    <w:p>
      <w:pPr>
        <w:pStyle w:val="4"/>
        <w:keepNext/>
        <w:keepLines/>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firstLine="501" w:firstLineChars="208"/>
        <w:textAlignment w:val="auto"/>
        <w:outlineLvl w:val="0"/>
        <w:rPr>
          <w:rFonts w:hint="eastAsia" w:ascii="仿宋" w:hAnsi="仿宋" w:eastAsia="仿宋" w:cs="仿宋"/>
          <w:b/>
          <w:bCs/>
          <w:color w:val="auto"/>
          <w:sz w:val="24"/>
          <w:szCs w:val="24"/>
        </w:rPr>
      </w:pPr>
      <w:bookmarkStart w:id="13" w:name="_Toc429553091"/>
      <w:bookmarkStart w:id="14" w:name="_Toc9249"/>
      <w:bookmarkStart w:id="15" w:name="_Toc29636"/>
      <w:bookmarkStart w:id="16" w:name="_Toc9023"/>
      <w:bookmarkStart w:id="17" w:name="_Toc27152"/>
      <w:bookmarkStart w:id="18" w:name="_Toc423596029"/>
      <w:bookmarkStart w:id="19" w:name="_Toc429558932"/>
      <w:r>
        <w:rPr>
          <w:rFonts w:hint="eastAsia" w:ascii="仿宋" w:hAnsi="仿宋" w:eastAsia="仿宋" w:cs="仿宋"/>
          <w:b/>
          <w:bCs/>
          <w:color w:val="auto"/>
          <w:sz w:val="24"/>
          <w:szCs w:val="24"/>
        </w:rPr>
        <w:t>一、招标项目</w:t>
      </w:r>
      <w:bookmarkEnd w:id="13"/>
      <w:bookmarkEnd w:id="14"/>
      <w:bookmarkEnd w:id="15"/>
      <w:bookmarkEnd w:id="16"/>
      <w:bookmarkEnd w:id="17"/>
      <w:bookmarkEnd w:id="18"/>
      <w:bookmarkEnd w:id="19"/>
      <w:r>
        <w:rPr>
          <w:rFonts w:hint="eastAsia" w:ascii="仿宋" w:hAnsi="仿宋" w:eastAsia="仿宋" w:cs="仿宋"/>
          <w:b/>
          <w:bCs/>
          <w:color w:val="auto"/>
          <w:sz w:val="24"/>
          <w:szCs w:val="24"/>
          <w:lang w:eastAsia="zh-CN"/>
        </w:rPr>
        <w:t>概况</w:t>
      </w:r>
      <w:r>
        <w:rPr>
          <w:rFonts w:hint="eastAsia" w:ascii="仿宋" w:hAnsi="仿宋" w:eastAsia="仿宋" w:cs="仿宋"/>
          <w:b/>
          <w:bCs/>
          <w:color w:val="auto"/>
          <w:sz w:val="24"/>
          <w:szCs w:val="24"/>
        </w:rPr>
        <w:t xml:space="preserve"> </w:t>
      </w:r>
    </w:p>
    <w:tbl>
      <w:tblPr>
        <w:tblStyle w:val="58"/>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4"/>
        <w:gridCol w:w="1517"/>
        <w:gridCol w:w="1475"/>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950" w:type="pct"/>
            <w:noWrap w:val="0"/>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项目</w:t>
            </w:r>
            <w:r>
              <w:rPr>
                <w:rFonts w:hint="eastAsia" w:ascii="仿宋" w:hAnsi="仿宋" w:eastAsia="仿宋" w:cs="仿宋"/>
                <w:b w:val="0"/>
                <w:bCs w:val="0"/>
                <w:color w:val="auto"/>
                <w:sz w:val="24"/>
                <w:szCs w:val="24"/>
              </w:rPr>
              <w:t>名称</w:t>
            </w:r>
          </w:p>
        </w:tc>
        <w:tc>
          <w:tcPr>
            <w:tcW w:w="782" w:type="pct"/>
            <w:noWrap w:val="0"/>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最高限价</w:t>
            </w:r>
          </w:p>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（元）</w:t>
            </w:r>
          </w:p>
        </w:tc>
        <w:tc>
          <w:tcPr>
            <w:tcW w:w="760" w:type="pct"/>
            <w:noWrap w:val="0"/>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中标人数量（名）</w:t>
            </w:r>
          </w:p>
        </w:tc>
        <w:tc>
          <w:tcPr>
            <w:tcW w:w="1506" w:type="pct"/>
            <w:noWrap w:val="0"/>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0" w:type="pct"/>
            <w:noWrap w:val="0"/>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酉阳县菖蒲花田农旅融合示范项目-基础设施工程（给水工程）木材等材料采购</w:t>
            </w:r>
          </w:p>
        </w:tc>
        <w:tc>
          <w:tcPr>
            <w:tcW w:w="782"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11668433.98</w:t>
            </w:r>
          </w:p>
        </w:tc>
        <w:tc>
          <w:tcPr>
            <w:tcW w:w="760" w:type="pct"/>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506" w:type="pct"/>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lang w:eastAsia="zh-CN"/>
              </w:rPr>
              <w:t>木材、标准砖、涂料、电缆、低压开关柜、球墨铸铁管等材料</w:t>
            </w:r>
            <w:r>
              <w:rPr>
                <w:rFonts w:hint="eastAsia" w:ascii="仿宋" w:hAnsi="仿宋" w:eastAsia="仿宋" w:cs="仿宋"/>
                <w:color w:val="auto"/>
                <w:sz w:val="24"/>
                <w:szCs w:val="24"/>
                <w:lang w:val="en-US" w:eastAsia="zh-CN"/>
              </w:rPr>
              <w:t>一批，具体内容以招标人提供的采购清单为准</w:t>
            </w:r>
          </w:p>
        </w:tc>
      </w:tr>
    </w:tbl>
    <w:p>
      <w:pPr>
        <w:pStyle w:val="4"/>
        <w:bidi w:val="0"/>
        <w:ind w:left="0" w:leftChars="0" w:firstLine="482" w:firstLineChars="200"/>
        <w:outlineLvl w:val="0"/>
        <w:rPr>
          <w:rFonts w:hint="eastAsia" w:ascii="仿宋" w:hAnsi="仿宋" w:eastAsia="仿宋" w:cs="仿宋"/>
          <w:color w:val="auto"/>
        </w:rPr>
      </w:pPr>
      <w:bookmarkStart w:id="20" w:name="_Toc3892"/>
      <w:bookmarkStart w:id="21" w:name="_Toc429553101"/>
      <w:bookmarkStart w:id="22" w:name="_Toc429558942"/>
      <w:bookmarkStart w:id="23" w:name="_Toc423596030"/>
      <w:bookmarkStart w:id="24" w:name="_Toc14827"/>
      <w:bookmarkStart w:id="25" w:name="_Toc29044"/>
      <w:bookmarkStart w:id="26" w:name="_Toc14151"/>
      <w:bookmarkStart w:id="27" w:name="_Toc19545"/>
      <w:bookmarkStart w:id="28" w:name="_Toc4374"/>
      <w:bookmarkStart w:id="29" w:name="_Toc423596032"/>
      <w:bookmarkStart w:id="30" w:name="_Toc429553103"/>
      <w:bookmarkStart w:id="31" w:name="_Toc429558944"/>
      <w:bookmarkStart w:id="32" w:name="_Toc32610"/>
      <w:bookmarkStart w:id="33" w:name="_Hlk96069092"/>
      <w:bookmarkStart w:id="34" w:name="_Toc23331"/>
      <w:r>
        <w:rPr>
          <w:rFonts w:hint="eastAsia" w:ascii="仿宋" w:hAnsi="仿宋" w:eastAsia="仿宋" w:cs="仿宋"/>
          <w:b/>
          <w:bCs/>
          <w:color w:val="auto"/>
          <w:sz w:val="24"/>
          <w:szCs w:val="24"/>
        </w:rPr>
        <w:t>二、</w:t>
      </w:r>
      <w:bookmarkEnd w:id="20"/>
      <w:bookmarkEnd w:id="21"/>
      <w:bookmarkEnd w:id="22"/>
      <w:bookmarkEnd w:id="23"/>
      <w:bookmarkEnd w:id="24"/>
      <w:bookmarkStart w:id="35" w:name="_Toc31857"/>
      <w:bookmarkStart w:id="36" w:name="_Toc429558943"/>
      <w:bookmarkStart w:id="37" w:name="_Toc11738"/>
      <w:bookmarkStart w:id="38" w:name="_Toc423596031"/>
      <w:bookmarkStart w:id="39" w:name="_Toc429553102"/>
      <w:r>
        <w:rPr>
          <w:rFonts w:hint="eastAsia" w:ascii="仿宋" w:hAnsi="仿宋" w:eastAsia="仿宋" w:cs="仿宋"/>
          <w:color w:val="auto"/>
        </w:rPr>
        <w:t>投标人资格要求</w:t>
      </w:r>
      <w:bookmarkEnd w:id="25"/>
      <w:bookmarkEnd w:id="26"/>
      <w:bookmarkEnd w:id="35"/>
      <w:bookmarkEnd w:id="36"/>
      <w:bookmarkEnd w:id="37"/>
      <w:bookmarkEnd w:id="38"/>
      <w:bookmarkEnd w:id="3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（一）满足《中华人民共和国政府采购法》第二十二条规定（提供“基本资格条件承诺函”，格式详见第七篇）。</w:t>
      </w:r>
    </w:p>
    <w:p>
      <w:pPr>
        <w:pStyle w:val="4"/>
        <w:keepNext/>
        <w:keepLines/>
        <w:pageBreakBefore w:val="0"/>
        <w:widowControl w:val="0"/>
        <w:kinsoku/>
        <w:wordWrap/>
        <w:overflowPunct/>
        <w:topLinePunct w:val="0"/>
        <w:autoSpaceDE/>
        <w:autoSpaceDN/>
        <w:bidi w:val="0"/>
        <w:adjustRightInd w:val="0"/>
        <w:snapToGrid w:val="0"/>
        <w:spacing w:before="0" w:after="0"/>
        <w:ind w:left="0" w:leftChars="0" w:firstLine="499" w:firstLineChars="208"/>
        <w:textAlignment w:val="auto"/>
        <w:outlineLvl w:val="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（二）落实政府采购政策需满足的资格要求：</w:t>
      </w:r>
      <w:r>
        <w:rPr>
          <w:rFonts w:hint="eastAsia" w:ascii="仿宋" w:hAnsi="仿宋" w:eastAsia="仿宋" w:cs="仿宋"/>
          <w:b w:val="0"/>
          <w:bCs/>
          <w:color w:val="auto"/>
          <w:sz w:val="24"/>
          <w:szCs w:val="24"/>
          <w:lang w:val="en-US" w:eastAsia="zh-CN"/>
        </w:rPr>
        <w:t>详见第</w:t>
      </w:r>
      <w:r>
        <w:rPr>
          <w:rFonts w:hint="eastAsia" w:ascii="仿宋" w:hAnsi="仿宋" w:cs="仿宋"/>
          <w:b w:val="0"/>
          <w:bCs/>
          <w:color w:val="auto"/>
          <w:sz w:val="24"/>
          <w:szCs w:val="24"/>
          <w:lang w:val="en-US" w:eastAsia="zh-CN"/>
        </w:rPr>
        <w:t>6</w:t>
      </w:r>
      <w:r>
        <w:rPr>
          <w:rFonts w:hint="eastAsia" w:ascii="仿宋" w:hAnsi="仿宋" w:eastAsia="仿宋" w:cs="仿宋"/>
          <w:b w:val="0"/>
          <w:bCs/>
          <w:color w:val="auto"/>
          <w:sz w:val="24"/>
          <w:szCs w:val="24"/>
          <w:lang w:val="en-US" w:eastAsia="zh-CN"/>
        </w:rPr>
        <w:t>页中</w:t>
      </w:r>
      <w:r>
        <w:rPr>
          <w:rFonts w:hint="eastAsia" w:ascii="仿宋" w:hAnsi="仿宋" w:cs="仿宋"/>
          <w:b w:val="0"/>
          <w:bCs/>
          <w:color w:val="auto"/>
          <w:sz w:val="24"/>
          <w:szCs w:val="24"/>
          <w:lang w:val="en-US" w:eastAsia="zh-CN"/>
        </w:rPr>
        <w:t>第“</w:t>
      </w:r>
      <w:r>
        <w:rPr>
          <w:rFonts w:hint="eastAsia" w:ascii="仿宋" w:hAnsi="仿宋" w:eastAsia="仿宋" w:cs="仿宋"/>
          <w:b w:val="0"/>
          <w:bCs/>
          <w:color w:val="auto"/>
          <w:sz w:val="24"/>
          <w:szCs w:val="24"/>
        </w:rPr>
        <w:t>一、资格审查及符合性审查</w:t>
      </w:r>
      <w:r>
        <w:rPr>
          <w:rFonts w:hint="eastAsia" w:ascii="仿宋" w:hAnsi="仿宋" w:cs="仿宋"/>
          <w:b w:val="0"/>
          <w:bCs/>
          <w:color w:val="auto"/>
          <w:sz w:val="24"/>
          <w:szCs w:val="24"/>
          <w:lang w:eastAsia="zh-CN"/>
        </w:rPr>
        <w:t>（</w:t>
      </w:r>
      <w:r>
        <w:rPr>
          <w:rFonts w:hint="eastAsia" w:ascii="仿宋" w:hAnsi="仿宋" w:cs="仿宋"/>
          <w:b w:val="0"/>
          <w:bCs/>
          <w:color w:val="auto"/>
          <w:sz w:val="24"/>
          <w:szCs w:val="24"/>
          <w:lang w:val="en-US" w:eastAsia="zh-CN"/>
        </w:rPr>
        <w:t>一</w:t>
      </w:r>
      <w:r>
        <w:rPr>
          <w:rFonts w:hint="eastAsia" w:ascii="仿宋" w:hAnsi="仿宋" w:cs="仿宋"/>
          <w:b w:val="0"/>
          <w:bCs/>
          <w:color w:val="auto"/>
          <w:sz w:val="24"/>
          <w:szCs w:val="24"/>
          <w:lang w:eastAsia="zh-CN"/>
        </w:rPr>
        <w:t>）</w:t>
      </w:r>
      <w:r>
        <w:rPr>
          <w:rFonts w:hint="eastAsia" w:ascii="仿宋" w:hAnsi="仿宋" w:cs="仿宋"/>
          <w:b w:val="0"/>
          <w:bCs/>
          <w:color w:val="auto"/>
          <w:sz w:val="24"/>
          <w:szCs w:val="24"/>
          <w:lang w:val="en-US" w:eastAsia="zh-CN"/>
        </w:rPr>
        <w:t>资格审查条款”</w:t>
      </w:r>
      <w:r>
        <w:rPr>
          <w:rFonts w:hint="eastAsia" w:ascii="仿宋" w:hAnsi="仿宋" w:eastAsia="仿宋" w:cs="仿宋"/>
          <w:b w:val="0"/>
          <w:bCs/>
          <w:color w:val="auto"/>
          <w:sz w:val="24"/>
          <w:szCs w:val="24"/>
        </w:rPr>
        <w:t>。</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（三）本项目的特定资格要求：</w:t>
      </w:r>
      <w:r>
        <w:rPr>
          <w:rFonts w:hint="eastAsia" w:ascii="仿宋" w:hAnsi="仿宋" w:eastAsia="仿宋" w:cs="仿宋"/>
          <w:color w:val="auto"/>
          <w:sz w:val="24"/>
          <w:szCs w:val="24"/>
          <w:lang w:eastAsia="zh-CN"/>
        </w:rPr>
        <w:t>无。</w:t>
      </w:r>
    </w:p>
    <w:p>
      <w:pPr>
        <w:pStyle w:val="4"/>
        <w:bidi w:val="0"/>
        <w:ind w:left="0" w:leftChars="0" w:firstLine="482" w:firstLineChars="200"/>
        <w:outlineLvl w:val="0"/>
        <w:rPr>
          <w:rFonts w:hint="eastAsia" w:ascii="仿宋" w:hAnsi="仿宋" w:eastAsia="仿宋" w:cs="仿宋"/>
          <w:color w:val="auto"/>
        </w:rPr>
      </w:pPr>
      <w:r>
        <w:rPr>
          <w:rFonts w:hint="eastAsia" w:ascii="仿宋" w:hAnsi="仿宋" w:eastAsia="仿宋" w:cs="仿宋"/>
          <w:color w:val="auto"/>
          <w:lang w:eastAsia="zh-CN"/>
        </w:rPr>
        <w:t>三</w:t>
      </w:r>
      <w:r>
        <w:rPr>
          <w:rFonts w:hint="eastAsia" w:ascii="仿宋" w:hAnsi="仿宋" w:eastAsia="仿宋" w:cs="仿宋"/>
          <w:color w:val="auto"/>
        </w:rPr>
        <w:t>、投标、开标有关说明</w:t>
      </w:r>
      <w:bookmarkEnd w:id="27"/>
      <w:bookmarkEnd w:id="28"/>
      <w:bookmarkEnd w:id="29"/>
      <w:bookmarkEnd w:id="30"/>
      <w:bookmarkEnd w:id="31"/>
      <w:bookmarkEnd w:id="32"/>
      <w:bookmarkEnd w:id="33"/>
      <w:bookmarkEnd w:id="34"/>
      <w:bookmarkStart w:id="40" w:name="_Toc429553104"/>
      <w:bookmarkStart w:id="41" w:name="_Toc429558945"/>
      <w:bookmarkStart w:id="42" w:name="_Toc15181"/>
      <w:bookmarkStart w:id="43" w:name="_Toc42359603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（一）凡有意参加招标的投标人,在南川区城市建设投资（集团）有限公司官网直接下载本招标项目的招标文件等相关资料，不管投标人下载与否，都视为投标人收到以上资料并全部知晓有关招标过程和事宜。</w:t>
      </w:r>
    </w:p>
    <w:p>
      <w:pPr>
        <w:spacing w:line="360" w:lineRule="auto"/>
        <w:ind w:left="238" w:leftChars="85" w:firstLine="240" w:firstLineChars="100"/>
        <w:rPr>
          <w:rFonts w:hint="eastAsia" w:ascii="仿宋" w:hAnsi="仿宋" w:eastAsia="仿宋" w:cs="仿宋"/>
          <w:i w:val="0"/>
          <w:iCs w:val="0"/>
          <w:color w:val="auto"/>
          <w:sz w:val="24"/>
          <w:szCs w:val="24"/>
          <w:lang w:eastAsia="zh-CN"/>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报名</w:t>
      </w:r>
      <w:r>
        <w:rPr>
          <w:rFonts w:hint="eastAsia" w:ascii="仿宋" w:hAnsi="仿宋" w:eastAsia="仿宋" w:cs="仿宋"/>
          <w:color w:val="auto"/>
          <w:sz w:val="24"/>
          <w:szCs w:val="24"/>
          <w:lang w:eastAsia="zh-CN"/>
        </w:rPr>
        <w:t>时限及</w:t>
      </w:r>
      <w:r>
        <w:rPr>
          <w:rFonts w:hint="eastAsia" w:ascii="仿宋" w:hAnsi="仿宋" w:eastAsia="仿宋" w:cs="仿宋"/>
          <w:color w:val="auto"/>
          <w:sz w:val="24"/>
          <w:szCs w:val="24"/>
        </w:rPr>
        <w:t>方式：</w:t>
      </w:r>
      <w:r>
        <w:rPr>
          <w:rFonts w:hint="eastAsia" w:ascii="仿宋" w:hAnsi="仿宋" w:eastAsia="仿宋" w:cs="仿宋"/>
          <w:color w:val="auto"/>
          <w:sz w:val="24"/>
          <w:szCs w:val="24"/>
          <w:lang w:eastAsia="zh-CN"/>
        </w:rPr>
        <w:t>凡有兴趣参加投标的供应商</w:t>
      </w:r>
      <w:r>
        <w:rPr>
          <w:rFonts w:hint="eastAsia" w:ascii="仿宋" w:hAnsi="仿宋" w:eastAsia="仿宋" w:cs="仿宋"/>
          <w:color w:val="auto"/>
          <w:sz w:val="24"/>
          <w:szCs w:val="24"/>
        </w:rPr>
        <w:t xml:space="preserve">于 </w:t>
      </w:r>
      <w:r>
        <w:rPr>
          <w:rFonts w:hint="eastAsia" w:ascii="仿宋" w:hAnsi="仿宋" w:eastAsia="仿宋" w:cs="仿宋"/>
          <w:b/>
          <w:bCs/>
          <w:color w:val="auto"/>
          <w:sz w:val="24"/>
          <w:szCs w:val="24"/>
          <w:lang w:eastAsia="zh-CN"/>
        </w:rPr>
        <w:t>2023年</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月</w:t>
      </w:r>
      <w:r>
        <w:rPr>
          <w:rFonts w:hint="eastAsia" w:ascii="仿宋" w:hAnsi="仿宋" w:eastAsia="仿宋" w:cs="仿宋"/>
          <w:b/>
          <w:bCs/>
          <w:color w:val="auto"/>
          <w:sz w:val="24"/>
          <w:szCs w:val="24"/>
          <w:lang w:val="en-US" w:eastAsia="zh-CN"/>
        </w:rPr>
        <w:t>20</w:t>
      </w:r>
      <w:r>
        <w:rPr>
          <w:rFonts w:hint="eastAsia" w:ascii="仿宋" w:hAnsi="仿宋" w:eastAsia="仿宋" w:cs="仿宋"/>
          <w:b/>
          <w:bCs/>
          <w:color w:val="auto"/>
          <w:sz w:val="24"/>
          <w:szCs w:val="24"/>
        </w:rPr>
        <w:t>日</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b/>
          <w:bCs/>
          <w:color w:val="auto"/>
          <w:sz w:val="24"/>
          <w:szCs w:val="24"/>
          <w:lang w:eastAsia="zh-CN"/>
        </w:rPr>
        <w:t>2023年</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月</w:t>
      </w:r>
      <w:r>
        <w:rPr>
          <w:rFonts w:hint="eastAsia" w:ascii="仿宋" w:hAnsi="仿宋" w:eastAsia="仿宋" w:cs="仿宋"/>
          <w:b/>
          <w:bCs/>
          <w:color w:val="auto"/>
          <w:sz w:val="24"/>
          <w:szCs w:val="24"/>
          <w:lang w:val="en-US" w:eastAsia="zh-CN"/>
        </w:rPr>
        <w:t xml:space="preserve">27 </w:t>
      </w:r>
      <w:r>
        <w:rPr>
          <w:rFonts w:hint="eastAsia" w:ascii="仿宋" w:hAnsi="仿宋" w:eastAsia="仿宋" w:cs="仿宋"/>
          <w:b/>
          <w:bCs/>
          <w:color w:val="auto"/>
          <w:sz w:val="24"/>
          <w:szCs w:val="24"/>
        </w:rPr>
        <w:t>日</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由各供应商将报名登记表发送至</w:t>
      </w:r>
      <w:r>
        <w:rPr>
          <w:rFonts w:hint="eastAsia" w:ascii="仿宋" w:hAnsi="仿宋" w:eastAsia="仿宋" w:cs="仿宋"/>
          <w:color w:val="auto"/>
          <w:sz w:val="24"/>
          <w:szCs w:val="24"/>
          <w:lang w:val="en-US" w:eastAsia="zh-CN"/>
        </w:rPr>
        <w:t>1025720602@qq.com或到代理机构报名后，即为有效报名供应商，否则其投标文件将不予接收</w:t>
      </w:r>
      <w:r>
        <w:rPr>
          <w:rFonts w:hint="eastAsia" w:ascii="仿宋" w:hAnsi="仿宋" w:eastAsia="仿宋" w:cs="仿宋"/>
          <w:color w:val="auto"/>
          <w:sz w:val="24"/>
          <w:szCs w:val="24"/>
        </w:rPr>
        <w:t>。</w:t>
      </w:r>
    </w:p>
    <w:p>
      <w:pPr>
        <w:spacing w:line="360" w:lineRule="auto"/>
        <w:ind w:firstLine="480" w:firstLineChars="200"/>
        <w:outlineLvl w:val="1"/>
        <w:rPr>
          <w:rFonts w:hint="eastAsia" w:ascii="仿宋" w:hAnsi="仿宋" w:eastAsia="仿宋" w:cs="仿宋"/>
          <w:color w:val="auto"/>
          <w:sz w:val="24"/>
          <w:szCs w:val="24"/>
        </w:rPr>
      </w:pPr>
      <w:bookmarkStart w:id="44" w:name="_Toc6195"/>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w:t>
      </w:r>
      <w:bookmarkEnd w:id="44"/>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文件递交起</w:t>
      </w:r>
      <w:r>
        <w:rPr>
          <w:rFonts w:hint="eastAsia" w:ascii="仿宋" w:hAnsi="仿宋" w:eastAsia="仿宋" w:cs="仿宋"/>
          <w:color w:val="auto"/>
          <w:sz w:val="24"/>
          <w:szCs w:val="24"/>
        </w:rPr>
        <w:t>止时间：</w:t>
      </w:r>
      <w:r>
        <w:rPr>
          <w:rFonts w:hint="eastAsia" w:ascii="仿宋" w:hAnsi="仿宋" w:eastAsia="仿宋" w:cs="仿宋"/>
          <w:b/>
          <w:bCs/>
          <w:color w:val="auto"/>
          <w:sz w:val="24"/>
          <w:szCs w:val="24"/>
          <w:lang w:eastAsia="zh-CN"/>
        </w:rPr>
        <w:t>2023年</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月</w:t>
      </w:r>
      <w:r>
        <w:rPr>
          <w:rFonts w:hint="eastAsia" w:ascii="仿宋" w:hAnsi="仿宋" w:eastAsia="仿宋" w:cs="仿宋"/>
          <w:b/>
          <w:bCs/>
          <w:color w:val="auto"/>
          <w:sz w:val="24"/>
          <w:szCs w:val="24"/>
          <w:lang w:val="en-US" w:eastAsia="zh-CN"/>
        </w:rPr>
        <w:t xml:space="preserve"> 27 </w:t>
      </w:r>
      <w:r>
        <w:rPr>
          <w:rFonts w:hint="eastAsia" w:ascii="仿宋" w:hAnsi="仿宋" w:eastAsia="仿宋" w:cs="仿宋"/>
          <w:b/>
          <w:bCs/>
          <w:color w:val="auto"/>
          <w:sz w:val="24"/>
          <w:szCs w:val="24"/>
        </w:rPr>
        <w:t>日</w:t>
      </w:r>
      <w:r>
        <w:rPr>
          <w:rFonts w:hint="eastAsia" w:ascii="仿宋" w:hAnsi="仿宋" w:eastAsia="仿宋" w:cs="仿宋"/>
          <w:color w:val="auto"/>
          <w:sz w:val="24"/>
          <w:szCs w:val="24"/>
        </w:rPr>
        <w:t>北京时间</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0分（超过投标截止时间递交的投标文件，恕不接收。）</w:t>
      </w:r>
    </w:p>
    <w:p>
      <w:pPr>
        <w:spacing w:line="360" w:lineRule="auto"/>
        <w:ind w:firstLine="480" w:firstLineChars="200"/>
        <w:outlineLvl w:val="1"/>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）开标时间：</w:t>
      </w:r>
      <w:r>
        <w:rPr>
          <w:rFonts w:hint="eastAsia" w:ascii="仿宋" w:hAnsi="仿宋" w:eastAsia="仿宋" w:cs="仿宋"/>
          <w:b/>
          <w:bCs/>
          <w:color w:val="auto"/>
          <w:sz w:val="24"/>
          <w:szCs w:val="24"/>
          <w:lang w:eastAsia="zh-CN"/>
        </w:rPr>
        <w:t>2023年</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月</w:t>
      </w:r>
      <w:r>
        <w:rPr>
          <w:rFonts w:hint="eastAsia" w:ascii="仿宋" w:hAnsi="仿宋" w:eastAsia="仿宋" w:cs="仿宋"/>
          <w:b/>
          <w:bCs/>
          <w:color w:val="auto"/>
          <w:sz w:val="24"/>
          <w:szCs w:val="24"/>
          <w:lang w:val="en-US" w:eastAsia="zh-CN"/>
        </w:rPr>
        <w:t>27</w:t>
      </w:r>
      <w:r>
        <w:rPr>
          <w:rFonts w:hint="eastAsia" w:ascii="仿宋" w:hAnsi="仿宋" w:eastAsia="仿宋" w:cs="仿宋"/>
          <w:b/>
          <w:bCs/>
          <w:color w:val="auto"/>
          <w:sz w:val="24"/>
          <w:szCs w:val="24"/>
        </w:rPr>
        <w:t>日</w:t>
      </w:r>
      <w:r>
        <w:rPr>
          <w:rFonts w:hint="eastAsia" w:ascii="仿宋" w:hAnsi="仿宋" w:eastAsia="仿宋" w:cs="仿宋"/>
          <w:color w:val="auto"/>
          <w:sz w:val="24"/>
          <w:szCs w:val="24"/>
        </w:rPr>
        <w:t>北京时间</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）开标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地点：南川区西城街道南鸿大厦12楼经营部</w:t>
      </w:r>
      <w:r>
        <w:rPr>
          <w:rFonts w:hint="eastAsia" w:ascii="仿宋" w:hAnsi="仿宋" w:eastAsia="仿宋" w:cs="仿宋"/>
          <w:color w:val="auto"/>
          <w:sz w:val="24"/>
          <w:szCs w:val="24"/>
          <w:lang w:eastAsia="zh-CN"/>
        </w:rPr>
        <w:t>会议室</w:t>
      </w:r>
    </w:p>
    <w:p>
      <w:pPr>
        <w:pStyle w:val="4"/>
        <w:bidi w:val="0"/>
        <w:ind w:left="0" w:leftChars="0" w:firstLine="482" w:firstLineChars="200"/>
        <w:outlineLvl w:val="0"/>
        <w:rPr>
          <w:rFonts w:hint="eastAsia" w:ascii="仿宋" w:hAnsi="仿宋" w:eastAsia="仿宋" w:cs="仿宋"/>
          <w:color w:val="auto"/>
        </w:rPr>
      </w:pPr>
      <w:bookmarkStart w:id="45" w:name="_Toc2123"/>
      <w:bookmarkStart w:id="46" w:name="_Toc30319"/>
      <w:bookmarkStart w:id="47" w:name="_Toc16981"/>
      <w:r>
        <w:rPr>
          <w:rFonts w:hint="eastAsia" w:ascii="仿宋" w:hAnsi="仿宋" w:eastAsia="仿宋" w:cs="仿宋"/>
          <w:color w:val="auto"/>
          <w:lang w:eastAsia="zh-CN"/>
        </w:rPr>
        <w:t>四</w:t>
      </w:r>
      <w:r>
        <w:rPr>
          <w:rFonts w:hint="eastAsia" w:ascii="仿宋" w:hAnsi="仿宋" w:eastAsia="仿宋" w:cs="仿宋"/>
          <w:color w:val="auto"/>
        </w:rPr>
        <w:t>、</w:t>
      </w:r>
      <w:bookmarkEnd w:id="40"/>
      <w:bookmarkEnd w:id="41"/>
      <w:bookmarkEnd w:id="42"/>
      <w:bookmarkEnd w:id="43"/>
      <w:bookmarkStart w:id="48" w:name="_Toc429558946"/>
      <w:bookmarkStart w:id="49" w:name="_Toc4354"/>
      <w:bookmarkStart w:id="50" w:name="_Toc423596034"/>
      <w:bookmarkStart w:id="51" w:name="_Toc429553105"/>
      <w:r>
        <w:rPr>
          <w:rFonts w:hint="eastAsia" w:ascii="仿宋" w:hAnsi="仿宋" w:eastAsia="仿宋" w:cs="仿宋"/>
          <w:color w:val="auto"/>
        </w:rPr>
        <w:t>投标有关规定</w:t>
      </w:r>
      <w:bookmarkEnd w:id="45"/>
      <w:bookmarkEnd w:id="46"/>
      <w:bookmarkEnd w:id="47"/>
      <w:bookmarkEnd w:id="48"/>
      <w:bookmarkEnd w:id="49"/>
      <w:bookmarkEnd w:id="50"/>
      <w:bookmarkEnd w:id="51"/>
    </w:p>
    <w:p>
      <w:pPr>
        <w:snapToGrid w:val="0"/>
        <w:spacing w:line="360" w:lineRule="auto"/>
        <w:ind w:firstLine="480" w:firstLineChars="200"/>
        <w:rPr>
          <w:rFonts w:hint="eastAsia" w:ascii="仿宋" w:hAnsi="仿宋" w:eastAsia="仿宋" w:cs="仿宋"/>
          <w:color w:val="auto"/>
          <w:sz w:val="24"/>
          <w:szCs w:val="24"/>
        </w:rPr>
      </w:pPr>
      <w:bookmarkStart w:id="52" w:name="_Hlk106015960"/>
      <w:bookmarkStart w:id="53" w:name="_Toc423596035"/>
      <w:bookmarkStart w:id="54" w:name="_Toc429558947"/>
      <w:bookmarkStart w:id="55" w:name="_Toc429553106"/>
      <w:r>
        <w:rPr>
          <w:rFonts w:hint="eastAsia" w:ascii="仿宋" w:hAnsi="仿宋" w:eastAsia="仿宋" w:cs="仿宋"/>
          <w:color w:val="auto"/>
          <w:sz w:val="24"/>
          <w:szCs w:val="24"/>
        </w:rPr>
        <w:t>（一）单位负责人为同一人或者存在直接控股、管理关系的不同投标人，不得参加同一合同项（包）下的政府采购活动。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（二）为采购项目提供整体设计、规范编制或者项目管理、监理、检测等服务的投标人，不得再参加该采购项目的其他采购活动。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（三）本项目若有澄清文件一律在</w:t>
      </w:r>
      <w:bookmarkStart w:id="56" w:name="_Hlk104804628"/>
      <w:r>
        <w:rPr>
          <w:rFonts w:hint="eastAsia" w:ascii="仿宋" w:hAnsi="仿宋" w:eastAsia="仿宋" w:cs="仿宋"/>
          <w:color w:val="auto"/>
          <w:sz w:val="24"/>
          <w:szCs w:val="24"/>
          <w:lang w:eastAsia="zh-CN"/>
        </w:rPr>
        <w:t>南川区城市建设投资（集团）有限公司官网</w:t>
      </w:r>
      <w:bookmarkEnd w:id="56"/>
      <w:r>
        <w:rPr>
          <w:rFonts w:hint="eastAsia" w:ascii="仿宋" w:hAnsi="仿宋" w:eastAsia="仿宋" w:cs="仿宋"/>
          <w:color w:val="auto"/>
          <w:sz w:val="24"/>
          <w:szCs w:val="24"/>
        </w:rPr>
        <w:t>上发布，请各投标人注意自行下载；无论投标人下载与否，均视同投标人已知晓本项目澄清文件的内容。</w:t>
      </w:r>
    </w:p>
    <w:p>
      <w:pPr>
        <w:snapToGrid w:val="0"/>
        <w:spacing w:line="360" w:lineRule="auto"/>
        <w:ind w:firstLine="480" w:firstLineChars="200"/>
        <w:outlineLvl w:val="1"/>
        <w:rPr>
          <w:rFonts w:hint="eastAsia" w:ascii="仿宋" w:hAnsi="仿宋" w:eastAsia="仿宋" w:cs="仿宋"/>
          <w:color w:val="auto"/>
          <w:sz w:val="24"/>
          <w:szCs w:val="24"/>
        </w:rPr>
      </w:pPr>
      <w:bookmarkStart w:id="57" w:name="_Toc18931"/>
      <w:r>
        <w:rPr>
          <w:rFonts w:hint="eastAsia" w:ascii="仿宋" w:hAnsi="仿宋" w:eastAsia="仿宋" w:cs="仿宋"/>
          <w:color w:val="auto"/>
          <w:sz w:val="24"/>
          <w:szCs w:val="24"/>
        </w:rPr>
        <w:t>（四）超过投标截止时间递交的投标文件，恕不接收。</w:t>
      </w:r>
      <w:bookmarkEnd w:id="57"/>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（五）投标费用：无论投标结果如何，投标人参与本项目投标的所有费用均应由投标人自行承担。</w:t>
      </w:r>
    </w:p>
    <w:p>
      <w:pPr>
        <w:snapToGrid w:val="0"/>
        <w:spacing w:line="360" w:lineRule="auto"/>
        <w:ind w:firstLine="480" w:firstLineChars="200"/>
        <w:rPr>
          <w:rFonts w:hint="eastAsia" w:ascii="仿宋" w:hAnsi="仿宋" w:eastAsia="仿宋" w:cs="仿宋"/>
          <w:b w:val="0"/>
          <w:bCs w:val="0"/>
          <w:color w:val="auto"/>
          <w:sz w:val="24"/>
          <w:szCs w:val="24"/>
        </w:rPr>
      </w:pPr>
      <w:r>
        <w:rPr>
          <w:rFonts w:hint="eastAsia" w:ascii="仿宋" w:hAnsi="仿宋" w:eastAsia="仿宋" w:cs="仿宋"/>
          <w:color w:val="auto"/>
          <w:sz w:val="24"/>
          <w:szCs w:val="24"/>
        </w:rPr>
        <w:t>（六</w:t>
      </w:r>
      <w:r>
        <w:rPr>
          <w:rFonts w:hint="eastAsia" w:ascii="仿宋" w:hAnsi="仿宋" w:eastAsia="仿宋" w:cs="仿宋"/>
          <w:b w:val="0"/>
          <w:bCs w:val="0"/>
          <w:color w:val="auto"/>
          <w:sz w:val="24"/>
          <w:szCs w:val="24"/>
        </w:rPr>
        <w:t>）本项目不接受联合体参与投标，否则按无效投标处理。</w:t>
      </w:r>
    </w:p>
    <w:p>
      <w:pPr>
        <w:snapToGrid w:val="0"/>
        <w:spacing w:line="360" w:lineRule="auto"/>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（七）本项目不接受合同分包，否则按无效投标处理。</w:t>
      </w:r>
    </w:p>
    <w:bookmarkEnd w:id="52"/>
    <w:p>
      <w:pPr>
        <w:pStyle w:val="4"/>
        <w:bidi w:val="0"/>
        <w:ind w:left="0" w:leftChars="0" w:firstLine="482" w:firstLineChars="200"/>
        <w:outlineLvl w:val="0"/>
        <w:rPr>
          <w:rFonts w:hint="eastAsia" w:ascii="仿宋" w:hAnsi="仿宋" w:eastAsia="仿宋" w:cs="仿宋"/>
          <w:color w:val="auto"/>
        </w:rPr>
      </w:pPr>
      <w:bookmarkStart w:id="58" w:name="_Toc22279"/>
      <w:bookmarkStart w:id="59" w:name="_Toc16342"/>
      <w:bookmarkStart w:id="60" w:name="_Toc24005"/>
      <w:bookmarkStart w:id="61" w:name="_Toc12167"/>
      <w:r>
        <w:rPr>
          <w:rFonts w:hint="eastAsia" w:ascii="仿宋" w:hAnsi="仿宋" w:eastAsia="仿宋" w:cs="仿宋"/>
          <w:color w:val="auto"/>
          <w:lang w:eastAsia="zh-CN"/>
        </w:rPr>
        <w:t>五</w:t>
      </w:r>
      <w:r>
        <w:rPr>
          <w:rFonts w:hint="eastAsia" w:ascii="仿宋" w:hAnsi="仿宋" w:eastAsia="仿宋" w:cs="仿宋"/>
          <w:color w:val="auto"/>
        </w:rPr>
        <w:t>、联系方式</w:t>
      </w:r>
      <w:bookmarkEnd w:id="53"/>
      <w:bookmarkEnd w:id="54"/>
      <w:bookmarkEnd w:id="55"/>
      <w:bookmarkEnd w:id="58"/>
      <w:bookmarkEnd w:id="59"/>
      <w:bookmarkEnd w:id="60"/>
      <w:bookmarkEnd w:id="61"/>
    </w:p>
    <w:p>
      <w:pPr>
        <w:snapToGrid w:val="0"/>
        <w:spacing w:line="360" w:lineRule="auto"/>
        <w:ind w:firstLine="480" w:firstLineChars="200"/>
        <w:outlineLvl w:val="1"/>
        <w:rPr>
          <w:rFonts w:hint="eastAsia" w:ascii="仿宋" w:hAnsi="仿宋" w:eastAsia="仿宋" w:cs="仿宋"/>
          <w:color w:val="auto"/>
          <w:sz w:val="24"/>
          <w:szCs w:val="24"/>
        </w:rPr>
      </w:pPr>
      <w:bookmarkStart w:id="62" w:name="_Toc6127"/>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重庆市南鸿建筑工程有限责任公司</w:t>
      </w:r>
      <w:r>
        <w:rPr>
          <w:rFonts w:hint="eastAsia" w:ascii="仿宋" w:hAnsi="仿宋" w:eastAsia="仿宋" w:cs="仿宋"/>
          <w:color w:val="auto"/>
          <w:sz w:val="24"/>
          <w:szCs w:val="24"/>
        </w:rPr>
        <w:t xml:space="preserve"> </w:t>
      </w:r>
    </w:p>
    <w:p>
      <w:pPr>
        <w:snapToGrid w:val="0"/>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 xml:space="preserve"> 唐老师</w:t>
      </w:r>
    </w:p>
    <w:p>
      <w:pPr>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电  话：023-81110198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地  址： 南川区西城街道南鸿大厦</w:t>
      </w:r>
    </w:p>
    <w:bookmarkEnd w:id="62"/>
    <w:p>
      <w:pPr>
        <w:snapToGrid w:val="0"/>
        <w:spacing w:line="360" w:lineRule="auto"/>
        <w:ind w:firstLine="480" w:firstLineChars="200"/>
        <w:outlineLvl w:val="9"/>
        <w:rPr>
          <w:rFonts w:hint="eastAsia" w:ascii="仿宋" w:hAnsi="仿宋" w:eastAsia="仿宋" w:cs="仿宋"/>
          <w:color w:val="auto"/>
          <w:sz w:val="24"/>
          <w:szCs w:val="24"/>
        </w:rPr>
      </w:pPr>
      <w:bookmarkStart w:id="63" w:name="_Toc10871"/>
    </w:p>
    <w:p>
      <w:pPr>
        <w:snapToGrid w:val="0"/>
        <w:spacing w:line="360" w:lineRule="auto"/>
        <w:ind w:firstLine="480" w:firstLineChars="200"/>
        <w:outlineLvl w:val="1"/>
        <w:rPr>
          <w:rFonts w:hint="eastAsia" w:ascii="仿宋" w:hAnsi="仿宋" w:eastAsia="仿宋" w:cs="仿宋"/>
          <w:color w:val="auto"/>
          <w:sz w:val="24"/>
          <w:szCs w:val="24"/>
        </w:rPr>
      </w:pPr>
      <w:r>
        <w:rPr>
          <w:rFonts w:hint="eastAsia" w:ascii="仿宋" w:hAnsi="仿宋" w:eastAsia="仿宋" w:cs="仿宋"/>
          <w:color w:val="auto"/>
          <w:sz w:val="24"/>
          <w:szCs w:val="24"/>
        </w:rPr>
        <w:t>（二）</w:t>
      </w:r>
      <w:bookmarkEnd w:id="63"/>
      <w:r>
        <w:rPr>
          <w:rFonts w:hint="eastAsia" w:ascii="仿宋" w:hAnsi="仿宋" w:eastAsia="仿宋" w:cs="仿宋"/>
          <w:color w:val="auto"/>
          <w:sz w:val="24"/>
          <w:szCs w:val="24"/>
        </w:rPr>
        <w:t>采购代理机构：中大宇辰项目管理有限公司</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  址：重庆市渝北区金龙路259号</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联系人：田老师</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电  话：13896741499</w:t>
      </w:r>
    </w:p>
    <w:p>
      <w:pPr>
        <w:snapToGrid w:val="0"/>
        <w:spacing w:line="360" w:lineRule="auto"/>
        <w:ind w:firstLine="480" w:firstLineChars="200"/>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p>
    <w:p>
      <w:pPr>
        <w:pStyle w:val="3"/>
        <w:spacing w:before="0" w:beforeLines="0" w:after="0" w:afterLines="0" w:line="240" w:lineRule="auto"/>
        <w:jc w:val="both"/>
        <w:rPr>
          <w:rFonts w:hint="eastAsia" w:ascii="仿宋" w:hAnsi="仿宋" w:eastAsia="仿宋" w:cs="仿宋"/>
          <w:color w:val="auto"/>
          <w:sz w:val="24"/>
          <w:szCs w:val="24"/>
          <w:lang w:val="en-US" w:eastAsia="zh-CN"/>
        </w:rPr>
      </w:pPr>
      <w:bookmarkStart w:id="64" w:name="_Toc429558962"/>
      <w:bookmarkStart w:id="65" w:name="_Toc429553121"/>
      <w:bookmarkStart w:id="66" w:name="_Toc423596037"/>
      <w:bookmarkStart w:id="67" w:name="_Toc429558949"/>
      <w:bookmarkStart w:id="68" w:name="_Toc429553108"/>
    </w:p>
    <w:bookmarkEnd w:id="64"/>
    <w:bookmarkEnd w:id="65"/>
    <w:p>
      <w:pPr>
        <w:rPr>
          <w:rFonts w:hint="eastAsia" w:ascii="仿宋" w:hAnsi="仿宋" w:eastAsia="仿宋" w:cs="仿宋"/>
          <w:color w:val="auto"/>
          <w:lang w:val="en-US" w:eastAsia="zh-CN"/>
        </w:rPr>
      </w:pPr>
      <w:bookmarkStart w:id="69" w:name="_Toc20397"/>
      <w:bookmarkStart w:id="70" w:name="_Toc29734"/>
    </w:p>
    <w:p>
      <w:pPr>
        <w:rPr>
          <w:rFonts w:hint="eastAsia" w:ascii="仿宋" w:hAnsi="仿宋" w:eastAsia="仿宋" w:cs="仿宋"/>
          <w:color w:val="auto"/>
        </w:rPr>
        <w:sectPr>
          <w:footerReference r:id="rId5" w:type="default"/>
          <w:pgSz w:w="11907" w:h="16840"/>
          <w:pgMar w:top="1418" w:right="1247" w:bottom="1332" w:left="1276" w:header="964" w:footer="992" w:gutter="0"/>
          <w:pgNumType w:fmt="decimal" w:start="1"/>
          <w:cols w:space="720" w:num="1"/>
          <w:docGrid w:linePitch="380" w:charSpace="-5735"/>
        </w:sectPr>
      </w:pPr>
    </w:p>
    <w:bookmarkEnd w:id="66"/>
    <w:bookmarkEnd w:id="67"/>
    <w:bookmarkEnd w:id="68"/>
    <w:bookmarkEnd w:id="69"/>
    <w:bookmarkEnd w:id="70"/>
    <w:p>
      <w:pPr>
        <w:rPr>
          <w:rFonts w:hint="eastAsia" w:ascii="仿宋" w:hAnsi="仿宋" w:eastAsia="仿宋" w:cs="仿宋"/>
          <w:color w:val="auto"/>
        </w:rPr>
      </w:pPr>
      <w:bookmarkStart w:id="71" w:name="_Toc429558960"/>
      <w:bookmarkStart w:id="72" w:name="_Toc10918"/>
      <w:bookmarkStart w:id="73" w:name="_Toc423596038"/>
      <w:bookmarkStart w:id="74" w:name="_Toc429553119"/>
      <w:bookmarkStart w:id="75" w:name="_Toc15983"/>
    </w:p>
    <w:p>
      <w:pPr>
        <w:pStyle w:val="3"/>
        <w:spacing w:before="0" w:beforeLines="0" w:after="0" w:afterLines="0" w:line="240" w:lineRule="auto"/>
        <w:rPr>
          <w:rFonts w:hint="eastAsia" w:ascii="仿宋" w:hAnsi="仿宋" w:eastAsia="仿宋" w:cs="仿宋"/>
          <w:b/>
          <w:bCs/>
          <w:color w:val="auto"/>
          <w:sz w:val="44"/>
          <w:szCs w:val="44"/>
          <w:lang w:eastAsia="zh-CN"/>
        </w:rPr>
      </w:pPr>
      <w:bookmarkStart w:id="76" w:name="_Toc27084"/>
      <w:bookmarkStart w:id="77" w:name="_Toc24794"/>
      <w:r>
        <w:rPr>
          <w:rFonts w:hint="eastAsia" w:ascii="仿宋" w:hAnsi="仿宋" w:eastAsia="仿宋" w:cs="仿宋"/>
          <w:b/>
          <w:bCs/>
          <w:color w:val="auto"/>
          <w:sz w:val="44"/>
          <w:szCs w:val="44"/>
        </w:rPr>
        <w:t xml:space="preserve">第二篇  </w:t>
      </w:r>
      <w:bookmarkEnd w:id="76"/>
      <w:bookmarkEnd w:id="77"/>
      <w:r>
        <w:rPr>
          <w:rFonts w:hint="eastAsia" w:ascii="仿宋" w:hAnsi="仿宋" w:eastAsia="仿宋" w:cs="仿宋"/>
          <w:b/>
          <w:bCs/>
          <w:color w:val="auto"/>
          <w:sz w:val="44"/>
          <w:szCs w:val="44"/>
          <w:lang w:eastAsia="zh-CN"/>
        </w:rPr>
        <w:t>项目技术规格、数量及质量要求</w:t>
      </w:r>
    </w:p>
    <w:p>
      <w:pPr>
        <w:rPr>
          <w:rFonts w:hint="eastAsia" w:ascii="仿宋" w:hAnsi="仿宋" w:eastAsia="仿宋" w:cs="仿宋"/>
          <w:color w:val="auto"/>
          <w:lang w:val="en-US" w:eastAsia="zh-CN"/>
        </w:rPr>
      </w:pPr>
      <w:r>
        <w:rPr>
          <w:rFonts w:hint="eastAsia" w:ascii="仿宋" w:hAnsi="仿宋" w:eastAsia="仿宋" w:cs="仿宋"/>
          <w:color w:val="auto"/>
          <w:lang w:val="en-US" w:eastAsia="zh-CN"/>
        </w:rPr>
        <w:t>1.供货产品一览表</w:t>
      </w:r>
    </w:p>
    <w:tbl>
      <w:tblPr>
        <w:tblStyle w:val="58"/>
        <w:tblW w:w="13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
        <w:gridCol w:w="3482"/>
        <w:gridCol w:w="3120"/>
        <w:gridCol w:w="1012"/>
        <w:gridCol w:w="1520"/>
        <w:gridCol w:w="1719"/>
        <w:gridCol w:w="2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137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6"/>
                <w:szCs w:val="36"/>
                <w:u w:val="none"/>
              </w:rPr>
            </w:pPr>
            <w:r>
              <w:rPr>
                <w:rFonts w:hint="eastAsia" w:ascii="仿宋" w:hAnsi="仿宋" w:eastAsia="仿宋" w:cs="仿宋"/>
                <w:color w:val="auto"/>
                <w:lang w:val="en-US" w:eastAsia="zh-CN"/>
              </w:rPr>
              <w:t xml:space="preserve">   工程名称：酉阳县菖蒲花田农旅融合示范项目-基础设施工程（给水工程）木材等材料采购限价表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  称</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型号规格</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 位</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单价限价（含税价）（元）</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招采合价（元）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3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单价包含材料运输、供应、保险、包装、装车、保管；不包含材料卸车、搬运、安装及辅材等费用。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木材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锯材</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198715.68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粘土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1498.00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29480.64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复合模板</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188748.00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组合钢模板</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4067.56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支撑钢管及扣件</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11765.25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页岩空心砖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372.52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86797.16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标准砖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240×115×53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千块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556.83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416508.84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标准砖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200×95×53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千块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444.76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31577.96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外墙涂料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24313.92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氯化乙烯橡胶卷材防水</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66192.54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聚氨酯防水涂料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5083.00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70552.04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成品界面粉料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4701.15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陶粒</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69477.00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0.38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26401.26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污水池</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310.73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二氧化氯发生器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40052.19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80104.38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PAC整套加药设备</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单套</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处理能力0.24万t/d</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56157.89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56157.89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隔膜式计量泵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23343.39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46686.78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PLC控制柜</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33447.84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33447.84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盐酸泄露事故贮罐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17141.42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17141.42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电动单梁悬挂起重机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16870.97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16870.97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PLC控制柜(1控2)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14217.25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14217.25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液位传感器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3461.20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13844.80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JY型搅拌器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5055.16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10110.32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化料器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5016.93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10033.86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盐酸计量泵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3734.72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7469.44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氯酸钠计量泵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3726.02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7452.04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防腐型轴流风机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906.27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7250.16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盐酸泵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3057.07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6114.14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氯酸钠溶液贮罐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3027.19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6054.38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盐酸贮罐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3026.55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6053.10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酸雾吸收器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2707.81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5415.62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报警器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4499.78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4499.78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水射器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4437.46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4437.46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混凝土小型空心砌块</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329.93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14516.92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氟碳罩面清漆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147.56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5459.72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无管网气体灭火装置</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（QRR10/SL-20Kg）</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8979.94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98779.34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储油箱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7643.31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30573.24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无管网气体灭火装置</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（QRR10/SL-10Kg）</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6739.06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26956.24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SWF系列防爆轴流风机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3322.26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23255.82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电动防火阀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9393.65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消声器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340.44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2383.08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单层活动百叶风口</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500X250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单层活动百叶风口</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500X400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116.41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814.87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单层百叶风口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200X200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单层活动百叶风口</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400X250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91.64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641.48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金属氟碳漆面漆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970.86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合成高分子保护涂抹防水</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673.69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7673.33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多参数水质检测仪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26229.85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26229.85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全自动水质自动检测仪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24555.96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24555.96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智能消解器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(双12孔)</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9978.15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9978.15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精密天平</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3149.06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6298.12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BOD培养箱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5611.21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5611.21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电冰箱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4505.74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4505.74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分光光度计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3148.90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3148.90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U-PVC塑料排水管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2352.68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灭菌器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2248.45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2248.45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酸度计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2019.48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2019.48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真空泵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1915.28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1915.28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高温炉</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1689.69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1689.69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电热恒温培养箱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1580.03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1580.03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电热恒温干燥箱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1578.68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1578.68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热水器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烟道式</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1465.10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1465.10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水分测定仪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1344.90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电热恒温水浴锅</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1207.51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1207.51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自闭式蹲式大便器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491.41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992.65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饮用水专用聚氨酯防水涂料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（SPU-303）</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21522.00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558065.46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栏杆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176.68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42456.20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耐腐蚀的明杆闸阀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3576.48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64376.64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加压泵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D48-50-4</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10608.51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63651.06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5058.15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60697.80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截止阀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406.80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截止阀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DN40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371.75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1115.25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截止阀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de40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截止阀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d25,P=1.0MPa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3396.51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缓闭止回阀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577.51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4620.08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止回阀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1123.99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6743.94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洗手盆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陶瓷</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U-PVC塑料排水管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U-PVC塑料排水管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大便器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395.51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柔性防水套管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27911.00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柔性防水套管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1254.30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25086.00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电动葫芦</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Q=0.5t:</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11187.00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22374.00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低压不锈钢管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92.58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201.35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18640.98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低压不锈钢管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 A型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222.70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水力浮球阀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F745X-1.0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1496.64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8979.84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钢制90°弯头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589.30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8250.20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钢制90°弯头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686.24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6862.40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钢制偏心异径管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3991.77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手动伸缩蝶阀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DS343X-10 DN250 1.0MPa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257.26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2058.08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通风帽</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2693.76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电磁流量计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36386.00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72772.00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柔性防水套管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11808.50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柔性防水套管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1254.30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3762.90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单法兰伸缩接头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1239.10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7434.60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给水管 PE</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人孔井盖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Φ1000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320.77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5132.32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人孔井盖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Φ800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275.47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电磁流量计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PN1.0MPa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16927.40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67709.60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手动法兰蝶阀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2020.45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16163.60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5648.63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11297.26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手动法兰蝶阀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1237.28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4949.12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柔性接头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617.64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3705.84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刚性防水套管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 A型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612.46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12861.66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刚性防水套管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 A型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605.68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罩型通气管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D219x6  H=2100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502.67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3518.69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刚性防水套管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A型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474.60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2847.60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罩型通气管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D219x6  H=2100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446.44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3125.08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手动法兰蝶阀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1123.73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2247.46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溢流喇叭口</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DN300X750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961.74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1923.48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铸铁闸阀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561.08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三通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279.29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1117.16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三通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397.70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三通</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DN250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324.19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三通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DN200x150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104.54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3554.36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排气三通</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DN200*65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钢制法兰</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  PN1.0MPa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341.11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钢制90°弯头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431.58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863.16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单法兰伸缩接头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1829.14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3658.28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穿孔集水管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2205.57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铸铁闸阀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1125.17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钢制法兰盘</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844.02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溢流喇叭口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DN250*625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UPVC臭气管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524.02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UPVC排水管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159.09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低压开关柜(屏)</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83620.00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1003440.00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ZCYJV-0.6/1kV-1</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418321.80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柴油发电机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84213.15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336852.60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低压开关柜(屏)</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83620.00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334480.00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10kV环网柜</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252216.00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防腐电线管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PC100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8713.80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245293.47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ZCYJV-0.6/1kV-1(3x185+2x95)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570.16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218941.44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电力变压器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61874.39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185623.17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10kV环网柜</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126108.00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热镀锌钢管DN100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72.67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89820.12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ZCYJV-8.7/10kV-1(3x25)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84.61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68364.88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6米高室外路灯</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1155.53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41599.08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双电源配电箱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6463.60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19390.80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双电源配电箱</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6463.60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19390.80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KVVP-0.45/0.75kV-7x1.5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19236.00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ZCYJV-0.6/1kV-1(5x10)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19047.76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ZCYJV-0.6/1kV-1(3x50+1x25)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18975.68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室外路灯</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1158.04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19686.68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KVVP-0.45/0.75kV-3x1.5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13881.15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防潮型双管LED灯(自带蓄电池)</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316.13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10432.29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电磁流量计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19577.22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97886.10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总磷分析仪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72560.83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72560.83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SS测定仪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17387.22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69548.88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总氮分析仪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61333.60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61333.60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NH3N分析仪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55765.67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55765.67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COD分析仪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53427.89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53427.89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四芯单模光纤</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16170.00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51905.70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超声波液位计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4486.10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44861.00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CPU处理器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1769-L30ER</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9361.73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37446.92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监控软件(运行版)带I/</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系</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28286.84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28286.84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信号电缆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DJYPVP 2*1.5mm2</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2592.00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26282.88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压力变送器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2263.86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24902.46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余氯测量仪</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18620.22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18620.22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8点模拟量输入模块</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3703.43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14813.72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4点模拟量输出模块</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3363.09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13452.36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PH计(带温度输出)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6685.43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13370.86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网管型光纤交换机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3004.24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12016.96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高清防水摄像机（室外）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2975.88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11903.52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排水管FRPP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DN600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204.62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21485.10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排水管FRPP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DN400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88.02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16371.72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PSP 涂塑钢管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15022.74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排水管FRPP</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DN300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9504.46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电磁流量计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3051.61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6103.22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挡墙栏杆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335.09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27477.38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低碳钢焊条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综合</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88.64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浅米黄文化石</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200*100*50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1893.00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84.56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160072.08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围墙栏杆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131.59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156855.28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不锈钢防护栏杆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1100mm</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58017.12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真石涂料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3491.50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37812.95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透水砖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200*100*50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33043.95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台阶踏面芝麻白烧面花岗石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310*600*30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植草砖</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400*220*80mm8字</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3696.03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SBS防水卷材</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4mm厚</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12373.20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合成高分子保护涂膜</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8565.76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不锈钢栏杆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257.64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7986.84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水泥基渗透结晶型防水涂料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6974.80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聚氨酯涂膜防水</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2720.48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超声波液位计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4486.10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13458.30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Y型法兰过滤器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1632.80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4898.40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电动葫芦</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CD1-0.5-6D 起重量0.5t</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4407.00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手动伸缩蝶阀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 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650.73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1952.19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104.40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1846.84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113.23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1585.22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599.84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DN65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562.86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Q235B钢管DN100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62.05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5398.35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Q235B钢管DN200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31808.70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低压钢管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D250*8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193.25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低压钢管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D200*8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170.61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682.44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低压不锈钢管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103.24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3510.16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低压不锈钢管件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93.62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2246.88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低压碳钢管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DN65 δ=6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1316.88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热镀锌钢管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2097.00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31643.73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热镀锌钢管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2174.00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42849.54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缓闭止回阀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DN150 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3511.06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10533.18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缓闭止回阀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 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534.94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1069.88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加固可曲挠橡胶接头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458.08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916.16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刚性防水套管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88.71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加固可曲挠橡胶接头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 PN=2.5MPa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230.51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钢制弯头</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 DN200 2.5MPa: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145.54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塑钢窗</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6mm白玻</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158.20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9017.40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成品甲级防火门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461.14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6455.96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钢质门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465.47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20480.68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木质防火门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329.45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成品套装门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547.10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31731.80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塑钢窗</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214.70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15673.10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G742X系列排泥阀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2107.79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71664.86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柔性防水套管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707.45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24053.30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穿孔集水槽</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5611.08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22444.32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柔性防水套管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 DN200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机械混合搅拌机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Φ350,N=0.75kW,</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6664.46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13328.92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25SDA型电磁阀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389.66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13248.44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换向阀组盒</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816.06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10608.78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不锈钢栏杆</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83.85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8385.00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ABS塑料穿孔配水板</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1446.40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钢制直管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116.89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7013.40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截止阀DN50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445.27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5788.51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网格反应器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95.56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3440.16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ABS塑料穿孔配水板</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1200x800x30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偏心喷嘴</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DN200XDN150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273.82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3285.84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高强螺栓</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3194.24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钢制直管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104.20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2292.40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钢制直管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DN400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596.55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2386.20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石英砂滤料</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782.95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7438.03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双法兰直管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91.62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2840.22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双法兰弯头钢制90°弯头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双法兰短管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527.21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双法兰直管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虹吸弯管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379.86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单法兰直管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206.17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824.68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单法兰墙管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324.14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648.28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单法兰墙管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581.14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双法兰直管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DN=350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166.68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双法兰墙管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白铁管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单法兰墙管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179.13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358.26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成套供水设备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23456.30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23456.30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DN250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3933.07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11799.21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钢制DN=100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669.94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2009.82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闸阀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法兰连接DN200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1762.80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21153.60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309.78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1239.12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闸阀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2533.06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48128.14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1240.38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32249.88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闸阀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PN1.0MPa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2567.68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25676.80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闸阀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 PN1.0MPa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2567.68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25676.80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电动闸阀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3151.01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6302.02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钢制管道</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224.26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3588.16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钢制管道</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116.96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2069.02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加药管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dn32 PN=1.OMPa</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1472.78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钢制管道</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1437.21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FRPP塑料排水管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D400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U-PVC塑料排水管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D160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球墨铸铁管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236.85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1815218.40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槽钢管卡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21399.86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38519.75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球墨铸铁管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201.14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8246.74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球墨铸铁承插弯头DN200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309.57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45197.22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岩棉板</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327.30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2945.70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盘承（插）短管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201.67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13915.23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排泥阀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DN75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394.23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2365.38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钢制法兰</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77.41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1548.20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钢制法兰</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DN200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16441.56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盘承（插）短管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29752.58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排气阀</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DN65</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197.23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球墨铸铁管 </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承插式橡胶圈接口 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1098529.50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钢制法兰</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396.00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20227.68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球墨铸铁承插弯头</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DN150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134.92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16999.92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消火栓</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SA100/65-1.0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804.54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13677.18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潜水泵（一用一备）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356.48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3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清水泵</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 D35-50-4</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(Q=35m3/h ,H=200m,N=45kw</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14644.47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43933.41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合计：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xml:space="preserve">11668433.98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bl>
    <w:p>
      <w:pPr>
        <w:ind w:firstLine="241" w:firstLineChars="100"/>
        <w:rPr>
          <w:rFonts w:hint="eastAsia"/>
          <w:b/>
          <w:bCs/>
          <w:color w:val="0000FF"/>
          <w:sz w:val="24"/>
          <w:szCs w:val="24"/>
          <w:lang w:val="en-US" w:eastAsia="zh-CN"/>
        </w:rPr>
      </w:pPr>
    </w:p>
    <w:p>
      <w:pPr>
        <w:pStyle w:val="2"/>
        <w:spacing w:line="360" w:lineRule="auto"/>
        <w:rPr>
          <w:rFonts w:hint="eastAsia" w:ascii="仿宋" w:hAnsi="仿宋" w:eastAsia="仿宋" w:cs="仿宋"/>
          <w:color w:val="auto"/>
          <w:sz w:val="24"/>
          <w:szCs w:val="24"/>
          <w:lang w:val="en-US" w:eastAsia="zh-CN"/>
        </w:rPr>
      </w:pPr>
    </w:p>
    <w:p>
      <w:pPr>
        <w:pStyle w:val="2"/>
        <w:spacing w:line="360" w:lineRule="auto"/>
        <w:ind w:firstLine="240" w:firstLineChars="100"/>
        <w:rPr>
          <w:rFonts w:hint="eastAsia" w:ascii="仿宋" w:hAnsi="仿宋" w:eastAsia="仿宋" w:cs="仿宋"/>
          <w:color w:val="auto"/>
          <w:lang w:val="en-US" w:eastAsia="zh-CN"/>
        </w:rPr>
        <w:sectPr>
          <w:pgSz w:w="16840" w:h="11907" w:orient="landscape"/>
          <w:pgMar w:top="1276" w:right="1418" w:bottom="1247" w:left="1332" w:header="964" w:footer="992" w:gutter="0"/>
          <w:pgNumType w:fmt="decimal"/>
          <w:cols w:space="720" w:num="1"/>
          <w:docGrid w:linePitch="380" w:charSpace="-5735"/>
        </w:sectPr>
      </w:pPr>
      <w:r>
        <w:rPr>
          <w:rFonts w:hint="eastAsia" w:ascii="仿宋" w:hAnsi="仿宋" w:eastAsia="仿宋" w:cs="仿宋"/>
          <w:color w:val="auto"/>
          <w:sz w:val="24"/>
          <w:szCs w:val="24"/>
          <w:lang w:val="en-US" w:eastAsia="zh-CN"/>
        </w:rPr>
        <w:t>二、对整个项目供货提供完整的供货服务方案，内容包含：供货服务计划及保证措施、质量保证措施、技术指导及售后服务情况等。</w:t>
      </w:r>
      <w:r>
        <w:rPr>
          <w:rFonts w:hint="eastAsia" w:ascii="仿宋" w:hAnsi="仿宋" w:eastAsia="仿宋" w:cs="仿宋"/>
          <w:color w:val="auto"/>
          <w:lang w:val="en-US" w:eastAsia="zh-CN"/>
        </w:rPr>
        <w:t xml:space="preserve"> </w:t>
      </w:r>
    </w:p>
    <w:bookmarkEnd w:id="71"/>
    <w:bookmarkEnd w:id="72"/>
    <w:bookmarkEnd w:id="73"/>
    <w:bookmarkEnd w:id="74"/>
    <w:bookmarkEnd w:id="75"/>
    <w:p>
      <w:pPr>
        <w:pStyle w:val="3"/>
        <w:spacing w:before="0" w:beforeLines="0" w:after="0" w:afterLines="0" w:line="240" w:lineRule="auto"/>
        <w:outlineLvl w:val="1"/>
        <w:rPr>
          <w:rFonts w:hint="eastAsia" w:ascii="仿宋" w:hAnsi="仿宋" w:eastAsia="仿宋" w:cs="仿宋"/>
          <w:b/>
          <w:bCs/>
          <w:color w:val="auto"/>
          <w:sz w:val="44"/>
          <w:szCs w:val="44"/>
        </w:rPr>
      </w:pPr>
      <w:bookmarkStart w:id="78" w:name="_Toc429558963"/>
      <w:bookmarkStart w:id="79" w:name="_Toc423596040"/>
      <w:bookmarkStart w:id="80" w:name="_Toc5674"/>
      <w:bookmarkStart w:id="81" w:name="_Toc24704"/>
      <w:r>
        <w:rPr>
          <w:rFonts w:hint="eastAsia" w:ascii="仿宋" w:hAnsi="仿宋" w:eastAsia="仿宋" w:cs="仿宋"/>
          <w:b/>
          <w:bCs/>
          <w:color w:val="auto"/>
          <w:sz w:val="44"/>
          <w:szCs w:val="44"/>
        </w:rPr>
        <w:t>第三篇  项目商务要求</w:t>
      </w:r>
      <w:bookmarkEnd w:id="78"/>
      <w:bookmarkEnd w:id="79"/>
      <w:bookmarkEnd w:id="80"/>
      <w:bookmarkEnd w:id="81"/>
    </w:p>
    <w:p>
      <w:pPr>
        <w:pStyle w:val="4"/>
        <w:bidi w:val="0"/>
        <w:spacing w:line="360" w:lineRule="auto"/>
        <w:ind w:left="0" w:leftChars="0" w:firstLine="501" w:firstLineChars="208"/>
        <w:outlineLvl w:val="0"/>
        <w:rPr>
          <w:rFonts w:hint="eastAsia" w:ascii="仿宋" w:hAnsi="仿宋" w:eastAsia="仿宋" w:cs="仿宋"/>
          <w:b/>
          <w:color w:val="auto"/>
          <w:sz w:val="24"/>
          <w:szCs w:val="24"/>
          <w:highlight w:val="none"/>
          <w:lang w:eastAsia="zh-CN"/>
        </w:rPr>
      </w:pPr>
      <w:bookmarkStart w:id="82" w:name="_Toc11151"/>
      <w:bookmarkStart w:id="83" w:name="_Toc25057"/>
      <w:bookmarkStart w:id="84" w:name="_Toc25355"/>
      <w:bookmarkStart w:id="85" w:name="_Toc19880"/>
      <w:r>
        <w:rPr>
          <w:rFonts w:hint="eastAsia" w:ascii="仿宋" w:hAnsi="仿宋" w:eastAsia="仿宋" w:cs="仿宋"/>
          <w:color w:val="auto"/>
          <w:sz w:val="24"/>
          <w:szCs w:val="24"/>
        </w:rPr>
        <w:t>一、</w:t>
      </w:r>
      <w:bookmarkEnd w:id="82"/>
      <w:bookmarkEnd w:id="83"/>
      <w:bookmarkEnd w:id="84"/>
      <w:bookmarkEnd w:id="85"/>
      <w:bookmarkStart w:id="86" w:name="_Toc267320050"/>
      <w:bookmarkStart w:id="87" w:name="_Toc429558965"/>
      <w:bookmarkStart w:id="88" w:name="_Toc423596042"/>
      <w:r>
        <w:rPr>
          <w:rFonts w:hint="eastAsia" w:ascii="仿宋" w:hAnsi="仿宋" w:eastAsia="仿宋" w:cs="仿宋"/>
          <w:b/>
          <w:color w:val="auto"/>
          <w:sz w:val="24"/>
          <w:szCs w:val="24"/>
          <w:highlight w:val="none"/>
          <w:lang w:eastAsia="zh-CN"/>
        </w:rPr>
        <w:t>工程概况及验收</w:t>
      </w:r>
    </w:p>
    <w:p>
      <w:pPr>
        <w:numPr>
          <w:ilvl w:val="0"/>
          <w:numId w:val="16"/>
        </w:numPr>
        <w:snapToGrid w:val="0"/>
        <w:spacing w:line="360" w:lineRule="auto"/>
        <w:ind w:left="0" w:leftChars="0"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采购内容：具体详见招标文件第二篇。</w:t>
      </w:r>
    </w:p>
    <w:p>
      <w:pPr>
        <w:numPr>
          <w:ilvl w:val="0"/>
          <w:numId w:val="16"/>
        </w:numPr>
        <w:snapToGrid w:val="0"/>
        <w:spacing w:line="360" w:lineRule="auto"/>
        <w:ind w:left="0" w:leftChars="0"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质量标准：</w:t>
      </w:r>
      <w:r>
        <w:rPr>
          <w:rFonts w:hint="eastAsia" w:ascii="仿宋" w:hAnsi="仿宋" w:eastAsia="仿宋" w:cs="仿宋"/>
          <w:color w:val="auto"/>
          <w:kern w:val="0"/>
          <w:sz w:val="24"/>
          <w:szCs w:val="24"/>
          <w:highlight w:val="none"/>
          <w:lang w:val="en-US" w:eastAsia="zh-CN"/>
        </w:rPr>
        <w:t>合格（完全满足国家及行业规定的质量和性能要求）</w:t>
      </w:r>
    </w:p>
    <w:p>
      <w:pPr>
        <w:numPr>
          <w:ilvl w:val="0"/>
          <w:numId w:val="16"/>
        </w:numPr>
        <w:snapToGrid w:val="0"/>
        <w:spacing w:line="360" w:lineRule="auto"/>
        <w:ind w:left="0" w:leftChars="0"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供货地点</w:t>
      </w:r>
      <w:r>
        <w:rPr>
          <w:rFonts w:hint="eastAsia" w:ascii="仿宋" w:hAnsi="仿宋" w:eastAsia="仿宋" w:cs="仿宋"/>
          <w:color w:val="auto"/>
          <w:kern w:val="0"/>
          <w:sz w:val="24"/>
          <w:szCs w:val="24"/>
          <w:highlight w:val="none"/>
        </w:rPr>
        <w:t>：</w:t>
      </w:r>
      <w:r>
        <w:rPr>
          <w:rFonts w:hint="eastAsia" w:ascii="仿宋" w:hAnsi="仿宋" w:eastAsia="仿宋" w:cs="仿宋"/>
          <w:sz w:val="24"/>
          <w:szCs w:val="24"/>
          <w:lang w:val="en-US" w:eastAsia="zh-CN"/>
        </w:rPr>
        <w:t>酉阳</w:t>
      </w:r>
      <w:r>
        <w:rPr>
          <w:rFonts w:hint="eastAsia" w:ascii="仿宋" w:hAnsi="仿宋" w:eastAsia="仿宋" w:cs="仿宋"/>
          <w:sz w:val="24"/>
          <w:szCs w:val="24"/>
        </w:rPr>
        <w:t>县花田乡、双泉乡</w:t>
      </w:r>
      <w:r>
        <w:rPr>
          <w:rFonts w:hint="eastAsia" w:ascii="仿宋" w:hAnsi="仿宋" w:eastAsia="仿宋" w:cs="仿宋"/>
          <w:color w:val="auto"/>
          <w:kern w:val="0"/>
          <w:sz w:val="24"/>
          <w:szCs w:val="24"/>
          <w:highlight w:val="none"/>
          <w:lang w:val="en-US" w:eastAsia="zh-CN"/>
        </w:rPr>
        <w:t xml:space="preserve"> </w:t>
      </w:r>
    </w:p>
    <w:p>
      <w:pPr>
        <w:numPr>
          <w:ilvl w:val="0"/>
          <w:numId w:val="16"/>
        </w:numPr>
        <w:snapToGrid w:val="0"/>
        <w:spacing w:line="360" w:lineRule="auto"/>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rPr>
        <w:t xml:space="preserve"> 交货期：根据工程进度需要，采购方每次按</w:t>
      </w:r>
      <w:r>
        <w:rPr>
          <w:rFonts w:hint="eastAsia" w:ascii="仿宋" w:hAnsi="仿宋" w:eastAsia="仿宋" w:cs="仿宋"/>
          <w:color w:val="auto"/>
          <w:kern w:val="0"/>
          <w:sz w:val="24"/>
          <w:szCs w:val="24"/>
          <w:highlight w:val="none"/>
          <w:lang w:eastAsia="zh-CN"/>
        </w:rPr>
        <w:t>合同约定</w:t>
      </w:r>
      <w:r>
        <w:rPr>
          <w:rFonts w:hint="eastAsia" w:ascii="仿宋" w:hAnsi="仿宋" w:eastAsia="仿宋" w:cs="仿宋"/>
          <w:color w:val="auto"/>
          <w:kern w:val="0"/>
          <w:sz w:val="24"/>
          <w:szCs w:val="24"/>
          <w:highlight w:val="none"/>
        </w:rPr>
        <w:t>时间提出供应材料计划,供应方须在收到采购方的供货通知后</w:t>
      </w:r>
      <w:r>
        <w:rPr>
          <w:rFonts w:hint="eastAsia" w:ascii="仿宋" w:hAnsi="仿宋" w:eastAsia="仿宋" w:cs="仿宋"/>
          <w:color w:val="auto"/>
          <w:kern w:val="0"/>
          <w:sz w:val="24"/>
          <w:szCs w:val="24"/>
          <w:highlight w:val="none"/>
          <w:lang w:val="en-US" w:eastAsia="zh-CN"/>
        </w:rPr>
        <w:t>7日历天</w:t>
      </w:r>
      <w:r>
        <w:rPr>
          <w:rFonts w:hint="eastAsia" w:ascii="仿宋" w:hAnsi="仿宋" w:eastAsia="仿宋" w:cs="仿宋"/>
          <w:color w:val="auto"/>
          <w:kern w:val="0"/>
          <w:sz w:val="24"/>
          <w:szCs w:val="24"/>
          <w:highlight w:val="none"/>
        </w:rPr>
        <w:t>内供应到施工现场。</w:t>
      </w:r>
    </w:p>
    <w:p>
      <w:pPr>
        <w:numPr>
          <w:ilvl w:val="0"/>
          <w:numId w:val="16"/>
        </w:numPr>
        <w:spacing w:line="360" w:lineRule="auto"/>
        <w:ind w:left="0" w:leftChars="0" w:firstLine="480" w:firstLineChars="200"/>
        <w:outlineLvl w:val="1"/>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验收</w:t>
      </w:r>
      <w:r>
        <w:rPr>
          <w:rFonts w:hint="eastAsia" w:ascii="仿宋" w:hAnsi="仿宋" w:eastAsia="仿宋" w:cs="仿宋"/>
          <w:color w:val="auto"/>
          <w:kern w:val="0"/>
          <w:sz w:val="24"/>
          <w:szCs w:val="24"/>
        </w:rPr>
        <w:t>方式</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严格按招标文件要求进行验收，供应商提供的货物未达到招标文件规定要求，且对采购人造成损失的，由供应商承担一切责任，并赔偿所造成的损失。工程质量达到国家现行有关施工质量验收规范要求，并一次性达到合格标准。</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（2）货物到达现场后，中标人应在使用单位人员在场情况下当面开箱，共同清点、检查外观，作</w:t>
      </w:r>
      <w:r>
        <w:rPr>
          <w:rFonts w:hint="eastAsia" w:ascii="仿宋" w:hAnsi="仿宋" w:eastAsia="仿宋" w:cs="仿宋"/>
          <w:color w:val="auto"/>
          <w:kern w:val="0"/>
          <w:sz w:val="24"/>
          <w:szCs w:val="24"/>
          <w:lang w:val="en-US" w:eastAsia="zh-CN"/>
        </w:rPr>
        <w:t>好</w:t>
      </w:r>
      <w:r>
        <w:rPr>
          <w:rFonts w:hint="eastAsia" w:ascii="仿宋" w:hAnsi="仿宋" w:eastAsia="仿宋" w:cs="仿宋"/>
          <w:color w:val="auto"/>
          <w:kern w:val="0"/>
          <w:sz w:val="24"/>
          <w:szCs w:val="24"/>
        </w:rPr>
        <w:t>开箱记录，双方签字确认。</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（3）中标人应保证货物到达采购人所在地完好无损，如有缺漏、损坏，由供应商负责调换、补齐或赔偿。</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（4）中标人应提供完备的技术资料、装箱单和合格证等</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（5）供应商提供的货物未达到招标文件规定要求，且对采购人造成损失的，由供应商承担一切责任，并赔偿所造成的损失。</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6</w:t>
      </w:r>
      <w:r>
        <w:rPr>
          <w:rFonts w:hint="eastAsia" w:ascii="仿宋" w:hAnsi="仿宋" w:eastAsia="仿宋" w:cs="仿宋"/>
          <w:color w:val="auto"/>
          <w:kern w:val="0"/>
          <w:sz w:val="24"/>
          <w:szCs w:val="24"/>
        </w:rPr>
        <w:t>）采购人需要供应商对中标人交付的产品（包括质量、技术参数等）进行确认的，供应商应予以配合，并出具书面意见。</w:t>
      </w:r>
    </w:p>
    <w:p>
      <w:pPr>
        <w:numPr>
          <w:ilvl w:val="0"/>
          <w:numId w:val="0"/>
        </w:numPr>
        <w:snapToGrid w:val="0"/>
        <w:spacing w:line="360" w:lineRule="auto"/>
        <w:ind w:left="0" w:leftChars="0" w:firstLine="499" w:firstLineChars="208"/>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）产品包装材料归采购人所有。</w:t>
      </w:r>
    </w:p>
    <w:bookmarkEnd w:id="86"/>
    <w:bookmarkEnd w:id="87"/>
    <w:bookmarkEnd w:id="88"/>
    <w:p>
      <w:pPr>
        <w:pStyle w:val="4"/>
        <w:spacing w:line="360" w:lineRule="auto"/>
        <w:ind w:left="0" w:leftChars="0" w:firstLine="501" w:firstLineChars="208"/>
        <w:rPr>
          <w:rFonts w:hint="eastAsia" w:ascii="仿宋" w:hAnsi="仿宋" w:eastAsia="仿宋" w:cs="仿宋"/>
          <w:b/>
          <w:color w:val="auto"/>
          <w:sz w:val="24"/>
          <w:szCs w:val="24"/>
          <w:highlight w:val="none"/>
        </w:rPr>
      </w:pPr>
      <w:bookmarkStart w:id="89" w:name="_Toc429558970"/>
      <w:bookmarkStart w:id="90" w:name="_Toc267320054"/>
      <w:bookmarkStart w:id="91" w:name="_Toc423596046"/>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报价要求</w:t>
      </w:r>
    </w:p>
    <w:p>
      <w:pPr>
        <w:spacing w:line="360" w:lineRule="auto"/>
        <w:ind w:left="0" w:leftChars="0" w:firstLine="499" w:firstLineChars="208"/>
        <w:rPr>
          <w:rFonts w:hint="eastAsia" w:ascii="仿宋" w:hAnsi="仿宋" w:eastAsia="仿宋" w:cs="仿宋"/>
          <w:color w:val="auto"/>
          <w:sz w:val="24"/>
          <w:szCs w:val="24"/>
          <w:highlight w:val="none"/>
        </w:rPr>
      </w:pPr>
      <w:bookmarkStart w:id="92" w:name="_Toc267320051"/>
      <w:bookmarkStart w:id="93" w:name="_Toc21482"/>
      <w:r>
        <w:rPr>
          <w:rFonts w:hint="eastAsia" w:ascii="仿宋" w:hAnsi="仿宋" w:eastAsia="仿宋" w:cs="仿宋"/>
          <w:snapToGrid w:val="0"/>
          <w:color w:val="auto"/>
          <w:kern w:val="0"/>
          <w:sz w:val="24"/>
          <w:szCs w:val="24"/>
          <w:highlight w:val="none"/>
        </w:rPr>
        <w:t>固定单价报价，</w:t>
      </w:r>
      <w:r>
        <w:rPr>
          <w:rFonts w:hint="eastAsia" w:ascii="仿宋" w:hAnsi="仿宋" w:eastAsia="仿宋" w:cs="仿宋"/>
          <w:b/>
          <w:bCs/>
          <w:i w:val="0"/>
          <w:iCs w:val="0"/>
          <w:color w:val="auto"/>
          <w:kern w:val="0"/>
          <w:sz w:val="24"/>
          <w:szCs w:val="24"/>
          <w:u w:val="none"/>
          <w:lang w:val="en-US" w:eastAsia="zh-CN" w:bidi="ar"/>
        </w:rPr>
        <w:t xml:space="preserve"> </w:t>
      </w:r>
      <w:r>
        <w:rPr>
          <w:rFonts w:hint="eastAsia" w:ascii="仿宋" w:hAnsi="仿宋" w:eastAsia="仿宋" w:cs="仿宋"/>
          <w:snapToGrid w:val="0"/>
          <w:color w:val="auto"/>
          <w:kern w:val="0"/>
          <w:sz w:val="24"/>
          <w:szCs w:val="24"/>
          <w:highlight w:val="none"/>
        </w:rPr>
        <w:t>投标人按</w:t>
      </w:r>
      <w:r>
        <w:rPr>
          <w:rFonts w:hint="eastAsia" w:ascii="仿宋" w:hAnsi="仿宋" w:eastAsia="仿宋" w:cs="仿宋"/>
          <w:snapToGrid w:val="0"/>
          <w:color w:val="auto"/>
          <w:kern w:val="0"/>
          <w:sz w:val="24"/>
          <w:szCs w:val="24"/>
          <w:highlight w:val="none"/>
          <w:lang w:eastAsia="zh-CN"/>
        </w:rPr>
        <w:t>已标价的工程量清单报价表</w:t>
      </w:r>
      <w:r>
        <w:rPr>
          <w:rFonts w:hint="eastAsia" w:ascii="仿宋" w:hAnsi="仿宋" w:eastAsia="仿宋" w:cs="仿宋"/>
          <w:snapToGrid w:val="0"/>
          <w:color w:val="auto"/>
          <w:kern w:val="0"/>
          <w:sz w:val="24"/>
          <w:szCs w:val="24"/>
          <w:highlight w:val="none"/>
        </w:rPr>
        <w:t>规定格式自主报价。投标人在投标截止时间前修改开标一览表中的投</w:t>
      </w:r>
      <w:r>
        <w:rPr>
          <w:rFonts w:hint="eastAsia" w:ascii="仿宋" w:hAnsi="仿宋" w:eastAsia="仿宋" w:cs="仿宋"/>
          <w:color w:val="auto"/>
          <w:sz w:val="24"/>
          <w:szCs w:val="24"/>
          <w:highlight w:val="none"/>
        </w:rPr>
        <w:t>标报价，应同时修改 “</w:t>
      </w:r>
      <w:r>
        <w:rPr>
          <w:rFonts w:hint="eastAsia" w:ascii="仿宋" w:hAnsi="仿宋" w:eastAsia="仿宋" w:cs="仿宋"/>
          <w:color w:val="auto"/>
          <w:sz w:val="24"/>
          <w:szCs w:val="24"/>
          <w:highlight w:val="none"/>
          <w:lang w:eastAsia="zh-CN"/>
        </w:rPr>
        <w:t>已标价的工程量清单报价表</w:t>
      </w:r>
      <w:r>
        <w:rPr>
          <w:rFonts w:hint="eastAsia" w:ascii="仿宋" w:hAnsi="仿宋" w:eastAsia="仿宋" w:cs="仿宋"/>
          <w:color w:val="auto"/>
          <w:sz w:val="24"/>
          <w:szCs w:val="24"/>
          <w:highlight w:val="none"/>
        </w:rPr>
        <w:t>”中的相应报价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投标报价为各分项报价金额之和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如分项报价中存在缺漏项，则视为缺漏项价格已包含在其他分项报价之中。</w:t>
      </w:r>
      <w:bookmarkEnd w:id="92"/>
      <w:bookmarkEnd w:id="93"/>
      <w:bookmarkStart w:id="94" w:name="_Toc1093"/>
    </w:p>
    <w:p>
      <w:pPr>
        <w:spacing w:line="360" w:lineRule="auto"/>
        <w:ind w:left="0" w:leftChars="0" w:firstLine="499" w:firstLineChars="208"/>
        <w:rPr>
          <w:rFonts w:hint="eastAsia" w:ascii="仿宋" w:hAnsi="仿宋" w:eastAsia="仿宋" w:cs="仿宋"/>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bidi="ar-SA"/>
        </w:rPr>
        <w:t>投标人应充分了解该项目的总体情况以及影响投标报价的其他要素，结合自身实力、市场行情自主合理报价。投标报价满足招标文件要求的产品运至施工现场招标人指定地点的含税全费用综合单价，应包含了产品的出厂价（含所有规费等）、运杂费（含包装、装车费、车辆通行费和运输至施工现场指定地点）、风险费、保险（交货验收前）、各种检测及检验、成品和半成品保护、各种税费、所有检测、验收、办理中标产品所需要的各种许可证、提供中标产品所需的各种检测报告（自检及第三方检测）、各种规费、经验收合格且交付给招标人正常使用的所有费用，以及合同明示或暗示的所有责任、义务和一般风险</w:t>
      </w:r>
      <w:r>
        <w:rPr>
          <w:rFonts w:hint="eastAsia" w:ascii="仿宋" w:hAnsi="仿宋" w:eastAsia="仿宋" w:cs="仿宋"/>
          <w:color w:val="auto"/>
          <w:kern w:val="0"/>
          <w:sz w:val="24"/>
          <w:szCs w:val="24"/>
          <w:highlight w:val="none"/>
        </w:rPr>
        <w:t>。</w:t>
      </w:r>
    </w:p>
    <w:p>
      <w:pPr>
        <w:spacing w:line="360" w:lineRule="auto"/>
        <w:ind w:left="0" w:leftChars="0" w:firstLine="501" w:firstLineChars="208"/>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三、质量保证及售后服务</w:t>
      </w:r>
      <w:bookmarkEnd w:id="94"/>
    </w:p>
    <w:p>
      <w:pPr>
        <w:snapToGrid w:val="0"/>
        <w:spacing w:line="360" w:lineRule="auto"/>
        <w:ind w:left="0" w:leftChars="0" w:firstLine="499" w:firstLineChars="208"/>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（一）质量保证期</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自项目验收合格之日起12个月，合同项下的产品，国家或厂家有更高的质量保证期的，应执行相应的质量保证期。</w:t>
      </w:r>
    </w:p>
    <w:p>
      <w:pPr>
        <w:snapToGrid w:val="0"/>
        <w:spacing w:line="360" w:lineRule="auto"/>
        <w:ind w:left="0" w:leftChars="0" w:firstLine="499" w:firstLineChars="208"/>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在质量保证期内，供应商必须上门提</w:t>
      </w:r>
      <w:bookmarkStart w:id="371" w:name="_GoBack"/>
      <w:bookmarkEnd w:id="371"/>
      <w:r>
        <w:rPr>
          <w:rFonts w:hint="eastAsia" w:ascii="仿宋" w:hAnsi="仿宋" w:eastAsia="仿宋" w:cs="仿宋"/>
          <w:color w:val="auto"/>
          <w:kern w:val="0"/>
          <w:sz w:val="24"/>
          <w:szCs w:val="24"/>
          <w:highlight w:val="none"/>
        </w:rPr>
        <w:t>供服务，免收服务费 (包括材料、工时、运输等一切费用)，质量问题应免费维修；退货时，采购方按照原购买价格一次性退清货款；换货时供应商应免费更换同规格型号、同样式并符合国家法律法规、强制性标准和产品明示标准的要求 (包括合同或其他方式明示的质量要求)，或经双方协商后的其他规格型号、样式并符合国家法律、强制性标准和产品明示标准要求 (包括合同或其他方式明示</w:t>
      </w:r>
      <w:r>
        <w:rPr>
          <w:rFonts w:hint="eastAsia" w:ascii="仿宋" w:hAnsi="仿宋" w:eastAsia="仿宋" w:cs="仿宋"/>
          <w:color w:val="auto"/>
          <w:kern w:val="0"/>
          <w:sz w:val="24"/>
          <w:szCs w:val="24"/>
          <w:highlight w:val="none"/>
          <w:lang w:eastAsia="zh-CN"/>
        </w:rPr>
        <w:t>的</w:t>
      </w:r>
      <w:r>
        <w:rPr>
          <w:rFonts w:hint="eastAsia" w:ascii="仿宋" w:hAnsi="仿宋" w:eastAsia="仿宋" w:cs="仿宋"/>
          <w:color w:val="auto"/>
          <w:kern w:val="0"/>
          <w:sz w:val="24"/>
          <w:szCs w:val="24"/>
          <w:highlight w:val="none"/>
        </w:rPr>
        <w:t>质量要求) 的产品，质量保证期限自换货之日起重新计算，如无同规格型号、同样式的产品，采购人不愿意调换其他规格型号、样式的产品而要求退货的，应予以退货，并不收取任何费用。</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（三） 产品自交货之日起30日内，出现严重质量问题，采购人可以选择退货、换货。产品自交货之日起 30日以上60日内，产品出现严重质量问题，采购人可以选择换货。</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（四）存在下列情况之一的，在质量保证期内，可进行收费服务：</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(1)因使用方使用、保养、保管不当造成损坏的；</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(2)非供应商安装、拆动、修理造成损坏的；</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(3)因不可抗力造成损坏的。</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（五）严重质量问题</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 不符合国家强制性标准的强制性要求；</w:t>
      </w:r>
    </w:p>
    <w:p>
      <w:pPr>
        <w:snapToGrid w:val="0"/>
        <w:spacing w:line="360" w:lineRule="auto"/>
        <w:ind w:left="0" w:leftChars="0" w:firstLine="499" w:firstLineChars="208"/>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 有害物质指标不符合标准要求；</w:t>
      </w:r>
    </w:p>
    <w:p>
      <w:pPr>
        <w:snapToGrid w:val="0"/>
        <w:spacing w:line="360" w:lineRule="auto"/>
        <w:ind w:left="0" w:leftChars="0" w:firstLine="499" w:firstLineChars="208"/>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（六）质量</w:t>
      </w:r>
      <w:r>
        <w:rPr>
          <w:rFonts w:hint="eastAsia" w:ascii="仿宋" w:hAnsi="仿宋" w:eastAsia="仿宋" w:cs="仿宋"/>
          <w:color w:val="auto"/>
          <w:kern w:val="0"/>
          <w:sz w:val="24"/>
          <w:szCs w:val="24"/>
          <w:highlight w:val="none"/>
        </w:rPr>
        <w:t>保</w:t>
      </w:r>
      <w:r>
        <w:rPr>
          <w:rFonts w:hint="eastAsia" w:ascii="仿宋" w:hAnsi="仿宋" w:eastAsia="仿宋" w:cs="仿宋"/>
          <w:color w:val="auto"/>
          <w:kern w:val="0"/>
          <w:sz w:val="24"/>
          <w:szCs w:val="24"/>
          <w:highlight w:val="none"/>
          <w:lang w:eastAsia="zh-CN"/>
        </w:rPr>
        <w:t>证</w:t>
      </w:r>
      <w:r>
        <w:rPr>
          <w:rFonts w:hint="eastAsia" w:ascii="仿宋" w:hAnsi="仿宋" w:eastAsia="仿宋" w:cs="仿宋"/>
          <w:color w:val="auto"/>
          <w:kern w:val="0"/>
          <w:sz w:val="24"/>
          <w:szCs w:val="24"/>
          <w:highlight w:val="none"/>
        </w:rPr>
        <w:t>期外服务要求</w:t>
      </w:r>
    </w:p>
    <w:p>
      <w:pPr>
        <w:spacing w:line="360" w:lineRule="auto"/>
        <w:ind w:left="0" w:leftChars="0" w:firstLine="499" w:firstLineChars="208"/>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sz w:val="24"/>
          <w:szCs w:val="24"/>
          <w:highlight w:val="none"/>
        </w:rPr>
        <w:t>质量保证期过后，成交供应商应同样提供免费电话咨询服务，并应提供产品上门维护服务。</w:t>
      </w:r>
    </w:p>
    <w:p>
      <w:pPr>
        <w:snapToGrid w:val="0"/>
        <w:spacing w:line="360" w:lineRule="auto"/>
        <w:ind w:left="0" w:leftChars="0" w:firstLine="499" w:firstLineChars="208"/>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质量保证期过后，采购人需要继续由原成交供应商提供售后服务的，成交供应商以优惠价格提供售后服务。</w:t>
      </w:r>
    </w:p>
    <w:p>
      <w:pPr>
        <w:pStyle w:val="4"/>
        <w:spacing w:line="360" w:lineRule="auto"/>
        <w:ind w:left="0" w:leftChars="0" w:firstLine="501" w:firstLineChars="208"/>
        <w:rPr>
          <w:rFonts w:hint="eastAsia" w:ascii="仿宋" w:hAnsi="仿宋" w:eastAsia="仿宋" w:cs="仿宋"/>
          <w:b/>
          <w:color w:val="auto"/>
          <w:sz w:val="24"/>
          <w:szCs w:val="24"/>
          <w:highlight w:val="none"/>
        </w:rPr>
      </w:pPr>
      <w:bookmarkStart w:id="95" w:name="_Toc21303"/>
      <w:r>
        <w:rPr>
          <w:rFonts w:hint="eastAsia" w:ascii="仿宋" w:hAnsi="仿宋" w:eastAsia="仿宋" w:cs="仿宋"/>
          <w:b/>
          <w:color w:val="auto"/>
          <w:sz w:val="24"/>
          <w:szCs w:val="24"/>
          <w:highlight w:val="none"/>
          <w:lang w:val="en-US" w:eastAsia="zh-CN"/>
        </w:rPr>
        <w:t>四、</w:t>
      </w:r>
      <w:r>
        <w:rPr>
          <w:rFonts w:hint="eastAsia" w:ascii="仿宋" w:hAnsi="仿宋" w:eastAsia="仿宋" w:cs="仿宋"/>
          <w:b/>
          <w:color w:val="auto"/>
          <w:sz w:val="24"/>
          <w:szCs w:val="24"/>
          <w:highlight w:val="none"/>
        </w:rPr>
        <w:t>付款方式及结算方式</w:t>
      </w:r>
      <w:bookmarkEnd w:id="95"/>
    </w:p>
    <w:p>
      <w:pPr>
        <w:snapToGrid w:val="0"/>
        <w:spacing w:line="360" w:lineRule="auto"/>
        <w:ind w:left="0" w:leftChars="0" w:firstLine="499" w:firstLineChars="208"/>
        <w:rPr>
          <w:rFonts w:hint="eastAsia" w:ascii="仿宋" w:hAnsi="仿宋" w:eastAsia="仿宋" w:cs="仿宋"/>
          <w:b w:val="0"/>
          <w:bCs w:val="0"/>
          <w:color w:val="auto"/>
          <w:kern w:val="0"/>
          <w:sz w:val="24"/>
          <w:szCs w:val="24"/>
          <w:highlight w:val="none"/>
        </w:rPr>
      </w:pPr>
      <w:bookmarkStart w:id="96" w:name="_Toc267320052"/>
      <w:bookmarkStart w:id="97" w:name="_Toc15827"/>
      <w:r>
        <w:rPr>
          <w:rFonts w:hint="eastAsia" w:ascii="仿宋" w:hAnsi="仿宋" w:eastAsia="仿宋" w:cs="仿宋"/>
          <w:b w:val="0"/>
          <w:bCs w:val="0"/>
          <w:color w:val="auto"/>
          <w:kern w:val="0"/>
          <w:sz w:val="24"/>
          <w:szCs w:val="24"/>
          <w:highlight w:val="none"/>
          <w:lang w:val="en-US" w:eastAsia="zh-CN"/>
        </w:rPr>
        <w:t>1、</w:t>
      </w:r>
      <w:r>
        <w:rPr>
          <w:rFonts w:hint="eastAsia" w:ascii="仿宋" w:hAnsi="仿宋" w:eastAsia="仿宋" w:cs="仿宋"/>
          <w:b w:val="0"/>
          <w:bCs w:val="0"/>
          <w:color w:val="auto"/>
          <w:kern w:val="0"/>
          <w:sz w:val="24"/>
          <w:szCs w:val="24"/>
          <w:highlight w:val="none"/>
        </w:rPr>
        <w:t>货物交付验收合格后每月25日前甲乙双方办理对账结算手续，截止当月25日的全部款项，乙方向甲方提供</w:t>
      </w:r>
      <w:r>
        <w:rPr>
          <w:rFonts w:hint="eastAsia" w:ascii="仿宋" w:hAnsi="仿宋" w:eastAsia="仿宋" w:cs="仿宋"/>
          <w:b w:val="0"/>
          <w:bCs w:val="0"/>
          <w:color w:val="auto"/>
          <w:kern w:val="0"/>
          <w:sz w:val="24"/>
          <w:szCs w:val="24"/>
          <w:highlight w:val="none"/>
          <w:lang w:val="en-US" w:eastAsia="zh-CN"/>
        </w:rPr>
        <w:t>13%</w:t>
      </w:r>
      <w:r>
        <w:rPr>
          <w:rFonts w:hint="eastAsia" w:ascii="仿宋" w:hAnsi="仿宋" w:eastAsia="仿宋" w:cs="仿宋"/>
          <w:b w:val="0"/>
          <w:bCs w:val="0"/>
          <w:color w:val="auto"/>
          <w:kern w:val="0"/>
          <w:sz w:val="24"/>
          <w:szCs w:val="24"/>
          <w:highlight w:val="none"/>
        </w:rPr>
        <w:t>增值税</w:t>
      </w:r>
      <w:r>
        <w:rPr>
          <w:rFonts w:hint="eastAsia" w:ascii="仿宋" w:hAnsi="仿宋" w:eastAsia="仿宋" w:cs="仿宋"/>
          <w:b w:val="0"/>
          <w:bCs w:val="0"/>
          <w:color w:val="auto"/>
          <w:kern w:val="0"/>
          <w:sz w:val="24"/>
          <w:szCs w:val="24"/>
          <w:highlight w:val="none"/>
          <w:lang w:val="en-US" w:eastAsia="zh-CN"/>
        </w:rPr>
        <w:t>专用</w:t>
      </w:r>
      <w:r>
        <w:rPr>
          <w:rFonts w:hint="eastAsia" w:ascii="仿宋" w:hAnsi="仿宋" w:eastAsia="仿宋" w:cs="仿宋"/>
          <w:b w:val="0"/>
          <w:bCs w:val="0"/>
          <w:color w:val="auto"/>
          <w:kern w:val="0"/>
          <w:sz w:val="24"/>
          <w:szCs w:val="24"/>
          <w:highlight w:val="none"/>
        </w:rPr>
        <w:t>发票后，甲方于次月</w:t>
      </w:r>
      <w:r>
        <w:rPr>
          <w:rFonts w:hint="eastAsia" w:ascii="仿宋" w:hAnsi="仿宋" w:eastAsia="仿宋" w:cs="仿宋"/>
          <w:b w:val="0"/>
          <w:bCs w:val="0"/>
          <w:color w:val="auto"/>
          <w:kern w:val="0"/>
          <w:sz w:val="24"/>
          <w:szCs w:val="24"/>
          <w:highlight w:val="none"/>
          <w:lang w:val="en-US" w:eastAsia="zh-CN"/>
        </w:rPr>
        <w:t>20</w:t>
      </w:r>
      <w:r>
        <w:rPr>
          <w:rFonts w:hint="eastAsia" w:ascii="仿宋" w:hAnsi="仿宋" w:eastAsia="仿宋" w:cs="仿宋"/>
          <w:b w:val="0"/>
          <w:bCs w:val="0"/>
          <w:color w:val="auto"/>
          <w:kern w:val="0"/>
          <w:sz w:val="24"/>
          <w:szCs w:val="24"/>
          <w:highlight w:val="none"/>
        </w:rPr>
        <w:t>日内向乙方支付至上月结算金额的100%。</w:t>
      </w:r>
    </w:p>
    <w:p>
      <w:pPr>
        <w:snapToGrid w:val="0"/>
        <w:spacing w:line="360" w:lineRule="auto"/>
        <w:ind w:left="0" w:leftChars="0" w:firstLine="499" w:firstLineChars="208"/>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2、</w:t>
      </w:r>
      <w:r>
        <w:rPr>
          <w:rFonts w:hint="eastAsia" w:ascii="仿宋" w:hAnsi="仿宋" w:eastAsia="仿宋" w:cs="仿宋"/>
          <w:b w:val="0"/>
          <w:bCs w:val="0"/>
          <w:color w:val="auto"/>
          <w:kern w:val="0"/>
          <w:sz w:val="24"/>
          <w:szCs w:val="24"/>
          <w:highlight w:val="none"/>
        </w:rPr>
        <w:t>结算方式：本合同为固定单价合同</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lang w:val="en-US" w:eastAsia="zh-CN"/>
        </w:rPr>
        <w:t>供货量</w:t>
      </w:r>
      <w:r>
        <w:rPr>
          <w:rFonts w:hint="eastAsia" w:ascii="仿宋" w:hAnsi="仿宋" w:eastAsia="仿宋" w:cs="仿宋"/>
          <w:b w:val="0"/>
          <w:bCs w:val="0"/>
          <w:color w:val="auto"/>
          <w:kern w:val="0"/>
          <w:sz w:val="24"/>
          <w:szCs w:val="24"/>
          <w:highlight w:val="none"/>
        </w:rPr>
        <w:t>据实结算。</w:t>
      </w:r>
    </w:p>
    <w:p>
      <w:pPr>
        <w:pStyle w:val="4"/>
        <w:spacing w:line="360" w:lineRule="auto"/>
        <w:ind w:left="0" w:leftChars="0" w:firstLine="501" w:firstLineChars="208"/>
        <w:rPr>
          <w:rFonts w:hint="eastAsia" w:ascii="仿宋" w:hAnsi="仿宋" w:eastAsia="仿宋" w:cs="仿宋"/>
          <w:b/>
          <w:color w:val="auto"/>
          <w:sz w:val="24"/>
          <w:szCs w:val="24"/>
        </w:rPr>
      </w:pPr>
      <w:bookmarkStart w:id="98" w:name="_Toc30921"/>
      <w:r>
        <w:rPr>
          <w:rFonts w:hint="eastAsia" w:ascii="仿宋" w:hAnsi="仿宋" w:eastAsia="仿宋" w:cs="仿宋"/>
          <w:b/>
          <w:color w:val="auto"/>
          <w:sz w:val="24"/>
          <w:szCs w:val="24"/>
          <w:highlight w:val="none"/>
          <w:lang w:val="en-US" w:eastAsia="zh-CN"/>
        </w:rPr>
        <w:t>五</w:t>
      </w:r>
      <w:r>
        <w:rPr>
          <w:rFonts w:hint="eastAsia" w:ascii="仿宋" w:hAnsi="仿宋" w:eastAsia="仿宋" w:cs="仿宋"/>
          <w:b/>
          <w:color w:val="auto"/>
          <w:sz w:val="24"/>
          <w:szCs w:val="24"/>
          <w:highlight w:val="none"/>
        </w:rPr>
        <w:t>、</w:t>
      </w:r>
      <w:bookmarkEnd w:id="96"/>
      <w:bookmarkEnd w:id="97"/>
      <w:bookmarkEnd w:id="98"/>
      <w:bookmarkStart w:id="99" w:name="_Toc23440"/>
      <w:bookmarkStart w:id="100" w:name="_Toc16976"/>
      <w:r>
        <w:rPr>
          <w:rFonts w:hint="eastAsia" w:ascii="仿宋" w:hAnsi="仿宋" w:eastAsia="仿宋" w:cs="仿宋"/>
          <w:b/>
          <w:color w:val="auto"/>
          <w:sz w:val="24"/>
          <w:szCs w:val="24"/>
        </w:rPr>
        <w:t>附件、图纸及包装要求</w:t>
      </w:r>
      <w:bookmarkEnd w:id="99"/>
      <w:bookmarkEnd w:id="100"/>
    </w:p>
    <w:p>
      <w:pPr>
        <w:ind w:left="0" w:leftChars="0" w:firstLine="499" w:firstLineChars="208"/>
        <w:jc w:val="left"/>
        <w:rPr>
          <w:rFonts w:hint="eastAsia"/>
        </w:rPr>
      </w:pPr>
      <w:bookmarkStart w:id="101" w:name="_Toc11850"/>
      <w:bookmarkStart w:id="102" w:name="_Toc19098"/>
      <w:bookmarkStart w:id="103" w:name="_Toc12251"/>
      <w:bookmarkStart w:id="104" w:name="_Toc15397"/>
      <w:bookmarkStart w:id="105" w:name="_Toc3972"/>
      <w:bookmarkStart w:id="106" w:name="_Toc11808"/>
      <w:bookmarkStart w:id="107" w:name="_Toc27186"/>
      <w:bookmarkStart w:id="108" w:name="_Toc20098"/>
      <w:r>
        <w:rPr>
          <w:rFonts w:hint="eastAsia" w:ascii="仿宋" w:hAnsi="仿宋" w:eastAsia="仿宋" w:cs="仿宋"/>
          <w:b w:val="0"/>
          <w:bCs w:val="0"/>
          <w:color w:val="auto"/>
          <w:kern w:val="0"/>
          <w:sz w:val="24"/>
          <w:szCs w:val="24"/>
          <w:highlight w:val="none"/>
        </w:rPr>
        <w:t>无</w:t>
      </w:r>
      <w:bookmarkEnd w:id="101"/>
      <w:bookmarkEnd w:id="102"/>
      <w:bookmarkEnd w:id="103"/>
      <w:bookmarkEnd w:id="104"/>
      <w:bookmarkEnd w:id="105"/>
      <w:bookmarkEnd w:id="106"/>
      <w:bookmarkEnd w:id="107"/>
      <w:bookmarkEnd w:id="108"/>
    </w:p>
    <w:p>
      <w:pPr>
        <w:rPr>
          <w:rFonts w:hint="eastAsia"/>
        </w:rPr>
      </w:pPr>
    </w:p>
    <w:bookmarkEnd w:id="89"/>
    <w:bookmarkEnd w:id="90"/>
    <w:bookmarkEnd w:id="91"/>
    <w:p>
      <w:pPr>
        <w:pStyle w:val="3"/>
        <w:spacing w:before="0" w:beforeLines="0" w:after="0" w:afterLines="0" w:line="360" w:lineRule="auto"/>
        <w:outlineLvl w:val="1"/>
        <w:rPr>
          <w:rFonts w:hint="eastAsia" w:ascii="仿宋" w:hAnsi="仿宋" w:eastAsia="仿宋" w:cs="仿宋"/>
          <w:color w:val="auto"/>
          <w:sz w:val="36"/>
          <w:szCs w:val="36"/>
        </w:rPr>
      </w:pPr>
      <w:bookmarkStart w:id="109" w:name="_Toc429558971"/>
      <w:bookmarkStart w:id="110" w:name="_Toc423596047"/>
      <w:r>
        <w:rPr>
          <w:rFonts w:hint="eastAsia" w:ascii="仿宋" w:hAnsi="仿宋" w:eastAsia="仿宋" w:cs="仿宋"/>
          <w:color w:val="auto"/>
          <w:kern w:val="0"/>
          <w:sz w:val="21"/>
          <w:szCs w:val="21"/>
        </w:rPr>
        <w:br w:type="page"/>
      </w:r>
      <w:bookmarkStart w:id="111" w:name="_Toc14688"/>
      <w:bookmarkStart w:id="112" w:name="_Toc30889"/>
      <w:bookmarkStart w:id="113" w:name="_Hlk106016806"/>
      <w:r>
        <w:rPr>
          <w:rFonts w:hint="eastAsia" w:ascii="仿宋" w:hAnsi="仿宋" w:eastAsia="仿宋" w:cs="仿宋"/>
          <w:b/>
          <w:bCs/>
          <w:color w:val="auto"/>
          <w:sz w:val="44"/>
          <w:szCs w:val="44"/>
        </w:rPr>
        <w:t xml:space="preserve">第四篇  </w:t>
      </w:r>
      <w:bookmarkEnd w:id="109"/>
      <w:bookmarkEnd w:id="110"/>
      <w:r>
        <w:rPr>
          <w:rFonts w:hint="eastAsia" w:ascii="仿宋" w:hAnsi="仿宋" w:eastAsia="仿宋" w:cs="仿宋"/>
          <w:b/>
          <w:bCs/>
          <w:color w:val="auto"/>
          <w:sz w:val="44"/>
          <w:szCs w:val="44"/>
        </w:rPr>
        <w:t>资格审查及评标办法</w:t>
      </w:r>
      <w:bookmarkEnd w:id="111"/>
      <w:bookmarkEnd w:id="112"/>
    </w:p>
    <w:p>
      <w:pPr>
        <w:pStyle w:val="4"/>
        <w:keepNext/>
        <w:keepLines/>
        <w:pageBreakBefore w:val="0"/>
        <w:widowControl w:val="0"/>
        <w:kinsoku/>
        <w:wordWrap/>
        <w:overflowPunct/>
        <w:topLinePunct w:val="0"/>
        <w:autoSpaceDE/>
        <w:autoSpaceDN/>
        <w:bidi w:val="0"/>
        <w:adjustRightInd w:val="0"/>
        <w:snapToGrid w:val="0"/>
        <w:spacing w:before="0" w:after="0"/>
        <w:ind w:left="0" w:leftChars="0" w:firstLine="501" w:firstLineChars="208"/>
        <w:textAlignment w:val="auto"/>
        <w:outlineLvl w:val="0"/>
        <w:rPr>
          <w:rFonts w:hint="eastAsia" w:ascii="仿宋" w:hAnsi="仿宋" w:eastAsia="仿宋" w:cs="仿宋"/>
          <w:b/>
          <w:color w:val="auto"/>
          <w:sz w:val="24"/>
          <w:szCs w:val="24"/>
        </w:rPr>
      </w:pPr>
      <w:bookmarkStart w:id="114" w:name="_Toc28903"/>
      <w:bookmarkStart w:id="115" w:name="_Toc26309"/>
      <w:bookmarkStart w:id="116" w:name="_Toc4071"/>
      <w:bookmarkStart w:id="117" w:name="_Toc1497"/>
      <w:bookmarkStart w:id="118" w:name="_Toc75793518"/>
      <w:bookmarkStart w:id="119" w:name="_Toc29755"/>
      <w:bookmarkStart w:id="120" w:name="_Toc21859"/>
      <w:bookmarkStart w:id="121" w:name="_Toc28360"/>
      <w:bookmarkStart w:id="122" w:name="_Toc8983"/>
      <w:bookmarkStart w:id="123" w:name="_Toc12641"/>
      <w:bookmarkStart w:id="124" w:name="_Toc14564"/>
      <w:bookmarkStart w:id="125" w:name="_Toc25971"/>
      <w:bookmarkStart w:id="126" w:name="_Toc20541"/>
      <w:bookmarkStart w:id="127" w:name="_Toc23973"/>
      <w:bookmarkStart w:id="128" w:name="_Toc27081"/>
      <w:bookmarkStart w:id="129" w:name="_Toc28961"/>
      <w:bookmarkStart w:id="130" w:name="_Toc26253"/>
      <w:bookmarkStart w:id="131" w:name="_Toc106030394"/>
      <w:r>
        <w:rPr>
          <w:rFonts w:hint="eastAsia" w:ascii="仿宋" w:hAnsi="仿宋" w:eastAsia="仿宋" w:cs="仿宋"/>
          <w:b/>
          <w:color w:val="auto"/>
          <w:sz w:val="24"/>
          <w:szCs w:val="24"/>
        </w:rPr>
        <w:t>一、资格审查</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仿宋" w:hAnsi="仿宋" w:eastAsia="仿宋" w:cs="仿宋"/>
          <w:b/>
          <w:color w:val="auto"/>
          <w:sz w:val="24"/>
          <w:szCs w:val="24"/>
        </w:rPr>
        <w:t>及符合性审查</w:t>
      </w:r>
      <w:bookmarkEnd w:id="129"/>
      <w:bookmarkEnd w:id="130"/>
      <w:bookmarkEnd w:id="131"/>
    </w:p>
    <w:p>
      <w:pPr>
        <w:snapToGrid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若未通过资格审查及符合性审查的投标文件，不进入评审环节。</w:t>
      </w:r>
    </w:p>
    <w:p>
      <w:pPr>
        <w:snapToGrid w:val="0"/>
        <w:spacing w:line="360" w:lineRule="auto"/>
        <w:ind w:firstLine="482" w:firstLineChars="200"/>
        <w:rPr>
          <w:rFonts w:hint="eastAsia" w:ascii="仿宋" w:hAnsi="仿宋" w:eastAsia="仿宋" w:cs="仿宋"/>
          <w:color w:val="auto"/>
          <w:kern w:val="0"/>
          <w:sz w:val="24"/>
          <w:szCs w:val="24"/>
        </w:rPr>
      </w:pPr>
      <w:r>
        <w:rPr>
          <w:rFonts w:hint="eastAsia" w:ascii="仿宋" w:hAnsi="仿宋" w:eastAsia="仿宋" w:cs="仿宋"/>
          <w:b/>
          <w:color w:val="auto"/>
          <w:sz w:val="24"/>
          <w:szCs w:val="24"/>
        </w:rPr>
        <w:t>（一）资格审查</w:t>
      </w:r>
    </w:p>
    <w:bookmarkEnd w:id="113"/>
    <w:p>
      <w:pPr>
        <w:snapToGrid w:val="0"/>
        <w:spacing w:line="360" w:lineRule="auto"/>
        <w:ind w:firstLine="480" w:firstLineChars="200"/>
        <w:rPr>
          <w:rFonts w:hint="eastAsia" w:ascii="仿宋" w:hAnsi="仿宋" w:eastAsia="仿宋" w:cs="仿宋"/>
          <w:color w:val="auto"/>
          <w:kern w:val="0"/>
          <w:sz w:val="24"/>
          <w:szCs w:val="24"/>
        </w:rPr>
      </w:pPr>
      <w:bookmarkStart w:id="132" w:name="_Hlk106017487"/>
      <w:bookmarkStart w:id="133" w:name="_Toc429558977"/>
      <w:bookmarkStart w:id="134" w:name="_Toc423596053"/>
      <w:r>
        <w:rPr>
          <w:rFonts w:hint="eastAsia" w:ascii="仿宋" w:hAnsi="仿宋" w:eastAsia="仿宋" w:cs="仿宋"/>
          <w:color w:val="auto"/>
          <w:kern w:val="0"/>
          <w:sz w:val="24"/>
          <w:szCs w:val="24"/>
        </w:rPr>
        <w:t>依据</w:t>
      </w:r>
      <w:r>
        <w:rPr>
          <w:rFonts w:hint="eastAsia" w:ascii="仿宋" w:hAnsi="仿宋" w:eastAsia="仿宋" w:cs="仿宋"/>
          <w:color w:val="auto"/>
          <w:kern w:val="0"/>
          <w:sz w:val="24"/>
          <w:szCs w:val="24"/>
          <w:lang w:eastAsia="zh-CN"/>
        </w:rPr>
        <w:t>招投标</w:t>
      </w:r>
      <w:r>
        <w:rPr>
          <w:rFonts w:hint="eastAsia" w:ascii="仿宋" w:hAnsi="仿宋" w:eastAsia="仿宋" w:cs="仿宋"/>
          <w:color w:val="auto"/>
          <w:kern w:val="0"/>
          <w:sz w:val="24"/>
          <w:szCs w:val="24"/>
        </w:rPr>
        <w:t>相关法律法规规定,由</w:t>
      </w:r>
      <w:r>
        <w:rPr>
          <w:rFonts w:hint="eastAsia" w:ascii="仿宋" w:hAnsi="仿宋" w:eastAsia="仿宋" w:cs="仿宋"/>
          <w:color w:val="auto"/>
          <w:kern w:val="0"/>
          <w:sz w:val="24"/>
          <w:szCs w:val="24"/>
          <w:lang w:eastAsia="zh-CN"/>
        </w:rPr>
        <w:t>招标人委托的评标委员会</w:t>
      </w:r>
      <w:r>
        <w:rPr>
          <w:rFonts w:hint="eastAsia" w:ascii="仿宋" w:hAnsi="仿宋" w:eastAsia="仿宋" w:cs="仿宋"/>
          <w:color w:val="auto"/>
          <w:kern w:val="0"/>
          <w:sz w:val="24"/>
          <w:szCs w:val="24"/>
        </w:rPr>
        <w:t>对投标文件中的资格证明文件进行审查。资格审查资料表如下：</w:t>
      </w:r>
    </w:p>
    <w:tbl>
      <w:tblPr>
        <w:tblStyle w:val="58"/>
        <w:tblW w:w="975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749"/>
        <w:gridCol w:w="2805"/>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序号</w:t>
            </w:r>
          </w:p>
        </w:tc>
        <w:tc>
          <w:tcPr>
            <w:tcW w:w="35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检查因素</w:t>
            </w:r>
          </w:p>
        </w:tc>
        <w:tc>
          <w:tcPr>
            <w:tcW w:w="53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restart"/>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（一）</w:t>
            </w:r>
          </w:p>
        </w:tc>
        <w:tc>
          <w:tcPr>
            <w:tcW w:w="749" w:type="dxa"/>
            <w:vMerge w:val="restart"/>
            <w:noWrap w:val="0"/>
            <w:vAlign w:val="center"/>
          </w:tcPr>
          <w:p>
            <w:pPr>
              <w:spacing w:line="24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《中华人民共和国政府采购法》第二十二条规定</w:t>
            </w:r>
          </w:p>
        </w:tc>
        <w:tc>
          <w:tcPr>
            <w:tcW w:w="2805"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tc>
        <w:tc>
          <w:tcPr>
            <w:tcW w:w="5359"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1.投标人法人营业执照（副本）或事业单位法人证书（副本）或个体工商户营业执照或有效的自然人身份证明或社会团体法人登记证书（提供复印件）。 </w:t>
            </w:r>
          </w:p>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2.投标人法定代表人身份证明和法定代表人授权代表委托书。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noWrap w:val="0"/>
            <w:vAlign w:val="center"/>
          </w:tcPr>
          <w:p>
            <w:pPr>
              <w:spacing w:line="240" w:lineRule="auto"/>
              <w:rPr>
                <w:rFonts w:hint="eastAsia" w:ascii="仿宋" w:hAnsi="仿宋" w:eastAsia="仿宋" w:cs="仿宋"/>
                <w:color w:val="auto"/>
                <w:sz w:val="24"/>
                <w:szCs w:val="24"/>
              </w:rPr>
            </w:pPr>
          </w:p>
        </w:tc>
        <w:tc>
          <w:tcPr>
            <w:tcW w:w="749" w:type="dxa"/>
            <w:vMerge w:val="continue"/>
            <w:noWrap w:val="0"/>
            <w:vAlign w:val="center"/>
          </w:tcPr>
          <w:p>
            <w:pPr>
              <w:spacing w:line="240" w:lineRule="auto"/>
              <w:rPr>
                <w:rFonts w:hint="eastAsia" w:ascii="仿宋" w:hAnsi="仿宋" w:eastAsia="仿宋" w:cs="仿宋"/>
                <w:color w:val="auto"/>
                <w:sz w:val="24"/>
                <w:szCs w:val="24"/>
                <w:lang w:val="zh-CN"/>
              </w:rPr>
            </w:pPr>
          </w:p>
        </w:tc>
        <w:tc>
          <w:tcPr>
            <w:tcW w:w="2805"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lang w:val="zh-CN"/>
              </w:rPr>
              <w:t>2.</w:t>
            </w:r>
            <w:r>
              <w:rPr>
                <w:rFonts w:hint="eastAsia" w:ascii="仿宋" w:hAnsi="仿宋" w:eastAsia="仿宋" w:cs="仿宋"/>
                <w:color w:val="auto"/>
                <w:sz w:val="24"/>
                <w:szCs w:val="24"/>
              </w:rPr>
              <w:t>具有良好的商业信誉和健全的财务会计制度</w:t>
            </w:r>
          </w:p>
        </w:tc>
        <w:tc>
          <w:tcPr>
            <w:tcW w:w="5359" w:type="dxa"/>
            <w:vMerge w:val="restart"/>
            <w:noWrap w:val="0"/>
            <w:vAlign w:val="center"/>
          </w:tcPr>
          <w:p>
            <w:pPr>
              <w:spacing w:line="24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投标人提供“基本资格条件承诺函”（详见第七篇）</w:t>
            </w:r>
          </w:p>
          <w:p>
            <w:pPr>
              <w:spacing w:line="24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noWrap w:val="0"/>
            <w:vAlign w:val="center"/>
          </w:tcPr>
          <w:p>
            <w:pPr>
              <w:spacing w:line="240" w:lineRule="auto"/>
              <w:rPr>
                <w:rFonts w:hint="eastAsia" w:ascii="仿宋" w:hAnsi="仿宋" w:eastAsia="仿宋" w:cs="仿宋"/>
                <w:color w:val="auto"/>
                <w:sz w:val="24"/>
                <w:szCs w:val="24"/>
              </w:rPr>
            </w:pPr>
          </w:p>
        </w:tc>
        <w:tc>
          <w:tcPr>
            <w:tcW w:w="749" w:type="dxa"/>
            <w:vMerge w:val="continue"/>
            <w:noWrap w:val="0"/>
            <w:vAlign w:val="center"/>
          </w:tcPr>
          <w:p>
            <w:pPr>
              <w:spacing w:line="240" w:lineRule="auto"/>
              <w:rPr>
                <w:rFonts w:hint="eastAsia" w:ascii="仿宋" w:hAnsi="仿宋" w:eastAsia="仿宋" w:cs="仿宋"/>
                <w:color w:val="auto"/>
                <w:sz w:val="24"/>
                <w:szCs w:val="24"/>
                <w:lang w:val="zh-CN"/>
              </w:rPr>
            </w:pPr>
          </w:p>
        </w:tc>
        <w:tc>
          <w:tcPr>
            <w:tcW w:w="2805" w:type="dxa"/>
            <w:noWrap w:val="0"/>
            <w:vAlign w:val="center"/>
          </w:tcPr>
          <w:p>
            <w:pPr>
              <w:spacing w:line="24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3.具有履行合同所必需的设备和专业技术能力</w:t>
            </w:r>
          </w:p>
        </w:tc>
        <w:tc>
          <w:tcPr>
            <w:tcW w:w="5359" w:type="dxa"/>
            <w:vMerge w:val="continue"/>
            <w:noWrap w:val="0"/>
            <w:vAlign w:val="center"/>
          </w:tcPr>
          <w:p>
            <w:pPr>
              <w:spacing w:line="24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40" w:type="dxa"/>
            <w:vMerge w:val="continue"/>
            <w:noWrap w:val="0"/>
            <w:vAlign w:val="center"/>
          </w:tcPr>
          <w:p>
            <w:pPr>
              <w:spacing w:line="240" w:lineRule="auto"/>
              <w:rPr>
                <w:rFonts w:hint="eastAsia" w:ascii="仿宋" w:hAnsi="仿宋" w:eastAsia="仿宋" w:cs="仿宋"/>
                <w:color w:val="auto"/>
                <w:sz w:val="24"/>
                <w:szCs w:val="24"/>
              </w:rPr>
            </w:pPr>
          </w:p>
        </w:tc>
        <w:tc>
          <w:tcPr>
            <w:tcW w:w="749" w:type="dxa"/>
            <w:vMerge w:val="continue"/>
            <w:noWrap w:val="0"/>
            <w:vAlign w:val="center"/>
          </w:tcPr>
          <w:p>
            <w:pPr>
              <w:spacing w:line="240" w:lineRule="auto"/>
              <w:rPr>
                <w:rFonts w:hint="eastAsia" w:ascii="仿宋" w:hAnsi="仿宋" w:eastAsia="仿宋" w:cs="仿宋"/>
                <w:color w:val="auto"/>
                <w:sz w:val="24"/>
                <w:szCs w:val="24"/>
                <w:lang w:val="zh-CN"/>
              </w:rPr>
            </w:pPr>
          </w:p>
        </w:tc>
        <w:tc>
          <w:tcPr>
            <w:tcW w:w="2805" w:type="dxa"/>
            <w:noWrap w:val="0"/>
            <w:vAlign w:val="center"/>
          </w:tcPr>
          <w:p>
            <w:pPr>
              <w:spacing w:line="24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4.有依法缴纳税收和社会保障金的良好记录</w:t>
            </w:r>
          </w:p>
        </w:tc>
        <w:tc>
          <w:tcPr>
            <w:tcW w:w="5359" w:type="dxa"/>
            <w:vMerge w:val="continue"/>
            <w:noWrap w:val="0"/>
            <w:vAlign w:val="center"/>
          </w:tcPr>
          <w:p>
            <w:pPr>
              <w:spacing w:line="24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noWrap w:val="0"/>
            <w:vAlign w:val="center"/>
          </w:tcPr>
          <w:p>
            <w:pPr>
              <w:spacing w:line="240" w:lineRule="auto"/>
              <w:rPr>
                <w:rFonts w:hint="eastAsia" w:ascii="仿宋" w:hAnsi="仿宋" w:eastAsia="仿宋" w:cs="仿宋"/>
                <w:color w:val="auto"/>
                <w:sz w:val="24"/>
                <w:szCs w:val="24"/>
              </w:rPr>
            </w:pPr>
          </w:p>
        </w:tc>
        <w:tc>
          <w:tcPr>
            <w:tcW w:w="749" w:type="dxa"/>
            <w:vMerge w:val="continue"/>
            <w:noWrap w:val="0"/>
            <w:vAlign w:val="center"/>
          </w:tcPr>
          <w:p>
            <w:pPr>
              <w:spacing w:line="240" w:lineRule="auto"/>
              <w:rPr>
                <w:rFonts w:hint="eastAsia" w:ascii="仿宋" w:hAnsi="仿宋" w:eastAsia="仿宋" w:cs="仿宋"/>
                <w:color w:val="auto"/>
                <w:sz w:val="24"/>
                <w:szCs w:val="24"/>
                <w:lang w:val="zh-CN"/>
              </w:rPr>
            </w:pPr>
          </w:p>
        </w:tc>
        <w:tc>
          <w:tcPr>
            <w:tcW w:w="2805" w:type="dxa"/>
            <w:noWrap w:val="0"/>
            <w:vAlign w:val="center"/>
          </w:tcPr>
          <w:p>
            <w:pPr>
              <w:spacing w:line="24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rPr>
              <w:t>5.参加政府采购活动前三年内，在经营活动中没有重大违法记录（注</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eq \o\ac(</w:instrText>
            </w:r>
            <w:r>
              <w:rPr>
                <w:rFonts w:hint="eastAsia" w:ascii="仿宋" w:hAnsi="仿宋" w:eastAsia="仿宋" w:cs="仿宋"/>
                <w:color w:val="auto"/>
                <w:position w:val="-4"/>
                <w:sz w:val="36"/>
                <w:szCs w:val="24"/>
              </w:rPr>
              <w:instrText xml:space="preserve">○</w:instrText>
            </w:r>
            <w:r>
              <w:rPr>
                <w:rFonts w:hint="eastAsia" w:ascii="仿宋" w:hAnsi="仿宋" w:eastAsia="仿宋" w:cs="仿宋"/>
                <w:color w:val="auto"/>
                <w:position w:val="0"/>
                <w:sz w:val="24"/>
                <w:szCs w:val="24"/>
              </w:rPr>
              <w:instrText xml:space="preserve">,2)</w:instrTex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p>
        </w:tc>
        <w:tc>
          <w:tcPr>
            <w:tcW w:w="5359" w:type="dxa"/>
            <w:vMerge w:val="continue"/>
            <w:noWrap w:val="0"/>
            <w:vAlign w:val="center"/>
          </w:tcPr>
          <w:p>
            <w:pPr>
              <w:spacing w:line="240" w:lineRule="auto"/>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40" w:type="dxa"/>
            <w:vMerge w:val="continue"/>
            <w:noWrap w:val="0"/>
            <w:vAlign w:val="center"/>
          </w:tcPr>
          <w:p>
            <w:pPr>
              <w:spacing w:line="240" w:lineRule="auto"/>
              <w:rPr>
                <w:rFonts w:hint="eastAsia" w:ascii="仿宋" w:hAnsi="仿宋" w:eastAsia="仿宋" w:cs="仿宋"/>
                <w:color w:val="auto"/>
                <w:sz w:val="24"/>
                <w:szCs w:val="24"/>
              </w:rPr>
            </w:pPr>
          </w:p>
        </w:tc>
        <w:tc>
          <w:tcPr>
            <w:tcW w:w="749" w:type="dxa"/>
            <w:vMerge w:val="continue"/>
            <w:noWrap w:val="0"/>
            <w:vAlign w:val="center"/>
          </w:tcPr>
          <w:p>
            <w:pPr>
              <w:spacing w:line="240" w:lineRule="auto"/>
              <w:rPr>
                <w:rFonts w:hint="eastAsia" w:ascii="仿宋" w:hAnsi="仿宋" w:eastAsia="仿宋" w:cs="仿宋"/>
                <w:color w:val="auto"/>
                <w:sz w:val="24"/>
                <w:szCs w:val="24"/>
              </w:rPr>
            </w:pPr>
          </w:p>
        </w:tc>
        <w:tc>
          <w:tcPr>
            <w:tcW w:w="2805"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6.法律、行政法规规定的其他条件</w:t>
            </w:r>
          </w:p>
        </w:tc>
        <w:tc>
          <w:tcPr>
            <w:tcW w:w="5359" w:type="dxa"/>
            <w:noWrap w:val="0"/>
            <w:vAlign w:val="center"/>
          </w:tcPr>
          <w:p>
            <w:pPr>
              <w:spacing w:line="24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40" w:type="dxa"/>
            <w:vMerge w:val="continue"/>
            <w:noWrap w:val="0"/>
            <w:vAlign w:val="center"/>
          </w:tcPr>
          <w:p>
            <w:pPr>
              <w:spacing w:line="240" w:lineRule="auto"/>
              <w:rPr>
                <w:rFonts w:hint="eastAsia" w:ascii="仿宋" w:hAnsi="仿宋" w:eastAsia="仿宋" w:cs="仿宋"/>
                <w:color w:val="auto"/>
                <w:sz w:val="24"/>
                <w:szCs w:val="24"/>
              </w:rPr>
            </w:pPr>
          </w:p>
        </w:tc>
        <w:tc>
          <w:tcPr>
            <w:tcW w:w="749" w:type="dxa"/>
            <w:vMerge w:val="continue"/>
            <w:noWrap w:val="0"/>
            <w:vAlign w:val="center"/>
          </w:tcPr>
          <w:p>
            <w:pPr>
              <w:spacing w:line="240" w:lineRule="auto"/>
              <w:rPr>
                <w:rFonts w:hint="eastAsia" w:ascii="仿宋" w:hAnsi="仿宋" w:eastAsia="仿宋" w:cs="仿宋"/>
                <w:color w:val="auto"/>
                <w:sz w:val="24"/>
                <w:szCs w:val="24"/>
              </w:rPr>
            </w:pPr>
          </w:p>
        </w:tc>
        <w:tc>
          <w:tcPr>
            <w:tcW w:w="2805" w:type="dxa"/>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7.本项目的特定资格要求</w:t>
            </w:r>
          </w:p>
        </w:tc>
        <w:tc>
          <w:tcPr>
            <w:tcW w:w="5359" w:type="dxa"/>
            <w:noWrap w:val="0"/>
            <w:vAlign w:val="center"/>
          </w:tcPr>
          <w:p>
            <w:pPr>
              <w:spacing w:line="24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按“第一篇三、投标人资格要求（三）本项目的特定资格要求”的要求提交（如果有）。</w:t>
            </w:r>
          </w:p>
        </w:tc>
      </w:tr>
    </w:tbl>
    <w:p>
      <w:pPr>
        <w:snapToGri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注：</w:t>
      </w:r>
    </w:p>
    <w:p>
      <w:pPr>
        <w:snapToGri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eq \o\ac(</w:instrText>
      </w:r>
      <w:r>
        <w:rPr>
          <w:rFonts w:hint="eastAsia" w:ascii="仿宋" w:hAnsi="仿宋" w:eastAsia="仿宋" w:cs="仿宋"/>
          <w:color w:val="auto"/>
          <w:kern w:val="0"/>
          <w:position w:val="-4"/>
          <w:sz w:val="36"/>
          <w:szCs w:val="24"/>
        </w:rPr>
        <w:instrText xml:space="preserve">○</w:instrText>
      </w:r>
      <w:r>
        <w:rPr>
          <w:rFonts w:hint="eastAsia" w:ascii="仿宋" w:hAnsi="仿宋" w:eastAsia="仿宋" w:cs="仿宋"/>
          <w:color w:val="auto"/>
          <w:kern w:val="0"/>
          <w:position w:val="0"/>
          <w:sz w:val="24"/>
          <w:szCs w:val="24"/>
        </w:rPr>
        <w:instrText xml:space="preserve">,1)</w:instrTex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投标人按“五证合一”登记制度办理营业执照的，组织机构代码证、税务登记证（副本）和社会保险登记证以投标人所提供的营业执照（副本）复印件为准。</w:t>
      </w:r>
    </w:p>
    <w:p>
      <w:pPr>
        <w:snapToGri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eq \o\ac(</w:instrText>
      </w:r>
      <w:r>
        <w:rPr>
          <w:rFonts w:hint="eastAsia" w:ascii="仿宋" w:hAnsi="仿宋" w:eastAsia="仿宋" w:cs="仿宋"/>
          <w:color w:val="auto"/>
          <w:kern w:val="0"/>
          <w:position w:val="-4"/>
          <w:sz w:val="36"/>
          <w:szCs w:val="24"/>
        </w:rPr>
        <w:instrText xml:space="preserve">○</w:instrText>
      </w:r>
      <w:r>
        <w:rPr>
          <w:rFonts w:hint="eastAsia" w:ascii="仿宋" w:hAnsi="仿宋" w:eastAsia="仿宋" w:cs="仿宋"/>
          <w:color w:val="auto"/>
          <w:kern w:val="0"/>
          <w:position w:val="0"/>
          <w:sz w:val="24"/>
          <w:szCs w:val="24"/>
        </w:rPr>
        <w:instrText xml:space="preserve">,2)</w:instrTex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ind w:firstLine="480" w:firstLineChars="200"/>
        <w:outlineLvl w:val="1"/>
        <w:rPr>
          <w:rFonts w:hint="eastAsia" w:ascii="仿宋" w:hAnsi="仿宋" w:eastAsia="仿宋" w:cs="仿宋"/>
          <w:color w:val="auto"/>
          <w:kern w:val="0"/>
          <w:sz w:val="24"/>
          <w:szCs w:val="24"/>
        </w:rPr>
      </w:pPr>
      <w:bookmarkStart w:id="135" w:name="_Toc24380"/>
      <w:bookmarkStart w:id="136" w:name="_Toc492721017"/>
      <w:bookmarkStart w:id="137" w:name="_Toc267320057"/>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二</w:t>
      </w:r>
      <w:r>
        <w:rPr>
          <w:rFonts w:hint="eastAsia" w:ascii="仿宋" w:hAnsi="仿宋" w:eastAsia="仿宋" w:cs="仿宋"/>
          <w:color w:val="auto"/>
          <w:kern w:val="0"/>
          <w:sz w:val="24"/>
          <w:szCs w:val="24"/>
        </w:rPr>
        <w:t>）符合性审查</w:t>
      </w:r>
      <w:bookmarkEnd w:id="135"/>
    </w:p>
    <w:p>
      <w:pPr>
        <w:snapToGri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评标委员会应当对符合资格的投标人的投标文件进行符合性审查，以确定其是否满足招标文件的实质性要求。符合性审查资料表如下：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524"/>
        <w:gridCol w:w="1937"/>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57" w:type="dxa"/>
            <w:noWrap w:val="0"/>
            <w:vAlign w:val="center"/>
          </w:tcPr>
          <w:p>
            <w:pPr>
              <w:spacing w:line="36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序号</w:t>
            </w:r>
          </w:p>
        </w:tc>
        <w:tc>
          <w:tcPr>
            <w:tcW w:w="3461" w:type="dxa"/>
            <w:gridSpan w:val="2"/>
            <w:noWrap w:val="0"/>
            <w:vAlign w:val="center"/>
          </w:tcPr>
          <w:p>
            <w:pPr>
              <w:spacing w:line="36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评审因素</w:t>
            </w:r>
          </w:p>
        </w:tc>
        <w:tc>
          <w:tcPr>
            <w:tcW w:w="5280" w:type="dxa"/>
            <w:noWrap w:val="0"/>
            <w:vAlign w:val="center"/>
          </w:tcPr>
          <w:p>
            <w:pPr>
              <w:spacing w:line="36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57" w:type="dxa"/>
            <w:vMerge w:val="restart"/>
            <w:noWrap w:val="0"/>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524" w:type="dxa"/>
            <w:vMerge w:val="restart"/>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有效性审查</w:t>
            </w:r>
          </w:p>
        </w:tc>
        <w:tc>
          <w:tcPr>
            <w:tcW w:w="1937"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投标文件签署</w:t>
            </w:r>
          </w:p>
        </w:tc>
        <w:tc>
          <w:tcPr>
            <w:tcW w:w="5280"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57" w:type="dxa"/>
            <w:vMerge w:val="continue"/>
            <w:noWrap w:val="0"/>
            <w:vAlign w:val="center"/>
          </w:tcPr>
          <w:p>
            <w:pPr>
              <w:spacing w:line="360" w:lineRule="auto"/>
              <w:jc w:val="center"/>
              <w:rPr>
                <w:rFonts w:hint="eastAsia" w:ascii="仿宋" w:hAnsi="仿宋" w:eastAsia="仿宋" w:cs="仿宋"/>
                <w:color w:val="auto"/>
                <w:kern w:val="0"/>
                <w:sz w:val="24"/>
                <w:szCs w:val="24"/>
              </w:rPr>
            </w:pPr>
          </w:p>
        </w:tc>
        <w:tc>
          <w:tcPr>
            <w:tcW w:w="1524" w:type="dxa"/>
            <w:vMerge w:val="continue"/>
            <w:noWrap w:val="0"/>
            <w:vAlign w:val="center"/>
          </w:tcPr>
          <w:p>
            <w:pPr>
              <w:spacing w:line="360" w:lineRule="auto"/>
              <w:rPr>
                <w:rFonts w:hint="eastAsia" w:ascii="仿宋" w:hAnsi="仿宋" w:eastAsia="仿宋" w:cs="仿宋"/>
                <w:color w:val="auto"/>
                <w:kern w:val="0"/>
                <w:sz w:val="24"/>
                <w:szCs w:val="24"/>
              </w:rPr>
            </w:pPr>
          </w:p>
        </w:tc>
        <w:tc>
          <w:tcPr>
            <w:tcW w:w="1937" w:type="dxa"/>
            <w:noWrap w:val="0"/>
            <w:vAlign w:val="center"/>
          </w:tcPr>
          <w:p>
            <w:pPr>
              <w:spacing w:line="36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投标方案</w:t>
            </w:r>
          </w:p>
        </w:tc>
        <w:tc>
          <w:tcPr>
            <w:tcW w:w="5280"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57" w:type="dxa"/>
            <w:vMerge w:val="continue"/>
            <w:noWrap w:val="0"/>
            <w:vAlign w:val="center"/>
          </w:tcPr>
          <w:p>
            <w:pPr>
              <w:spacing w:line="360" w:lineRule="auto"/>
              <w:jc w:val="center"/>
              <w:rPr>
                <w:rFonts w:hint="eastAsia" w:ascii="仿宋" w:hAnsi="仿宋" w:eastAsia="仿宋" w:cs="仿宋"/>
                <w:color w:val="auto"/>
                <w:kern w:val="0"/>
                <w:sz w:val="24"/>
                <w:szCs w:val="24"/>
              </w:rPr>
            </w:pPr>
          </w:p>
        </w:tc>
        <w:tc>
          <w:tcPr>
            <w:tcW w:w="1524" w:type="dxa"/>
            <w:vMerge w:val="continue"/>
            <w:noWrap w:val="0"/>
            <w:vAlign w:val="center"/>
          </w:tcPr>
          <w:p>
            <w:pPr>
              <w:spacing w:line="360" w:lineRule="auto"/>
              <w:rPr>
                <w:rFonts w:hint="eastAsia" w:ascii="仿宋" w:hAnsi="仿宋" w:eastAsia="仿宋" w:cs="仿宋"/>
                <w:color w:val="auto"/>
                <w:kern w:val="0"/>
                <w:sz w:val="24"/>
                <w:szCs w:val="24"/>
              </w:rPr>
            </w:pPr>
          </w:p>
        </w:tc>
        <w:tc>
          <w:tcPr>
            <w:tcW w:w="1937" w:type="dxa"/>
            <w:noWrap w:val="0"/>
            <w:vAlign w:val="center"/>
          </w:tcPr>
          <w:p>
            <w:pPr>
              <w:spacing w:line="36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rPr>
              <w:t>报价唯一</w:t>
            </w:r>
          </w:p>
        </w:tc>
        <w:tc>
          <w:tcPr>
            <w:tcW w:w="5280"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lang w:val="zh-CN"/>
              </w:rPr>
              <w:t>只能在预算金额和最高限价内报价，</w:t>
            </w:r>
            <w:r>
              <w:rPr>
                <w:rFonts w:hint="eastAsia" w:ascii="仿宋" w:hAnsi="仿宋" w:eastAsia="仿宋" w:cs="仿宋"/>
                <w:color w:val="auto"/>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57" w:type="dxa"/>
            <w:noWrap w:val="0"/>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524"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完整性审查</w:t>
            </w:r>
          </w:p>
        </w:tc>
        <w:tc>
          <w:tcPr>
            <w:tcW w:w="1937"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lang w:val="zh-CN"/>
              </w:rPr>
              <w:t>投标文件份数</w:t>
            </w:r>
          </w:p>
        </w:tc>
        <w:tc>
          <w:tcPr>
            <w:tcW w:w="5280"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57" w:type="dxa"/>
            <w:noWrap w:val="0"/>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524"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技术部分</w:t>
            </w:r>
          </w:p>
        </w:tc>
        <w:tc>
          <w:tcPr>
            <w:tcW w:w="1937"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投标文件内容</w:t>
            </w:r>
          </w:p>
        </w:tc>
        <w:tc>
          <w:tcPr>
            <w:tcW w:w="5280" w:type="dxa"/>
            <w:noWrap w:val="0"/>
            <w:vAlign w:val="center"/>
          </w:tcPr>
          <w:p>
            <w:pPr>
              <w:spacing w:line="360" w:lineRule="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本招标文件第二篇</w:t>
            </w:r>
            <w:r>
              <w:rPr>
                <w:rFonts w:hint="eastAsia" w:ascii="仿宋" w:hAnsi="仿宋" w:eastAsia="仿宋" w:cs="仿宋"/>
                <w:color w:val="auto"/>
                <w:kern w:val="0"/>
                <w:sz w:val="24"/>
                <w:szCs w:val="24"/>
                <w:lang w:val="en-US" w:eastAsia="zh-CN"/>
              </w:rPr>
              <w:t>带</w:t>
            </w:r>
            <w:r>
              <w:rPr>
                <w:rFonts w:hint="eastAsia" w:ascii="仿宋" w:hAnsi="仿宋" w:eastAsia="仿宋" w:cs="仿宋"/>
                <w:color w:val="auto"/>
                <w:kern w:val="0"/>
                <w:sz w:val="24"/>
                <w:szCs w:val="24"/>
                <w:u w:val="single"/>
                <w:lang w:eastAsia="zh-CN"/>
              </w:rPr>
              <w:t>要求</w:t>
            </w:r>
            <w:r>
              <w:rPr>
                <w:rFonts w:hint="eastAsia" w:ascii="仿宋" w:hAnsi="仿宋" w:eastAsia="仿宋" w:cs="仿宋"/>
                <w:color w:val="auto"/>
                <w:kern w:val="0"/>
                <w:sz w:val="24"/>
                <w:szCs w:val="24"/>
              </w:rPr>
              <w:t>部分</w:t>
            </w:r>
            <w:r>
              <w:rPr>
                <w:rFonts w:hint="eastAsia" w:ascii="仿宋" w:hAnsi="仿宋" w:eastAsia="仿宋" w:cs="仿宋"/>
                <w:color w:val="auto"/>
                <w:kern w:val="0"/>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57" w:type="dxa"/>
            <w:noWrap w:val="0"/>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524"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商务部分</w:t>
            </w:r>
          </w:p>
        </w:tc>
        <w:tc>
          <w:tcPr>
            <w:tcW w:w="1937"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投标文件内容</w:t>
            </w:r>
          </w:p>
        </w:tc>
        <w:tc>
          <w:tcPr>
            <w:tcW w:w="5280" w:type="dxa"/>
            <w:noWrap w:val="0"/>
            <w:vAlign w:val="center"/>
          </w:tcPr>
          <w:p>
            <w:pPr>
              <w:spacing w:line="360" w:lineRule="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本招标文件第三篇</w:t>
            </w:r>
            <w:r>
              <w:rPr>
                <w:rFonts w:hint="eastAsia" w:ascii="仿宋" w:hAnsi="仿宋" w:eastAsia="仿宋" w:cs="仿宋"/>
                <w:color w:val="auto"/>
                <w:kern w:val="0"/>
                <w:sz w:val="24"/>
                <w:szCs w:val="24"/>
                <w:u w:val="single"/>
                <w:lang w:val="en-US" w:eastAsia="zh-CN"/>
              </w:rPr>
              <w:t>带</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部分</w:t>
            </w:r>
            <w:r>
              <w:rPr>
                <w:rFonts w:hint="eastAsia" w:ascii="仿宋" w:hAnsi="仿宋" w:eastAsia="仿宋" w:cs="仿宋"/>
                <w:color w:val="auto"/>
                <w:kern w:val="0"/>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57" w:type="dxa"/>
            <w:noWrap w:val="0"/>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524"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投标有效期</w:t>
            </w:r>
          </w:p>
        </w:tc>
        <w:tc>
          <w:tcPr>
            <w:tcW w:w="1937"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投标文件内容</w:t>
            </w:r>
          </w:p>
        </w:tc>
        <w:tc>
          <w:tcPr>
            <w:tcW w:w="5280" w:type="dxa"/>
            <w:noWrap w:val="0"/>
            <w:vAlign w:val="center"/>
          </w:tcPr>
          <w:p>
            <w:pPr>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投标有效期为投标截止日期后九十天内</w:t>
            </w:r>
          </w:p>
        </w:tc>
      </w:tr>
    </w:tbl>
    <w:p>
      <w:pPr>
        <w:pStyle w:val="4"/>
        <w:keepNext/>
        <w:keepLines/>
        <w:pageBreakBefore w:val="0"/>
        <w:widowControl w:val="0"/>
        <w:kinsoku/>
        <w:wordWrap/>
        <w:overflowPunct/>
        <w:topLinePunct w:val="0"/>
        <w:autoSpaceDE/>
        <w:autoSpaceDN/>
        <w:bidi w:val="0"/>
        <w:adjustRightInd w:val="0"/>
        <w:snapToGrid w:val="0"/>
        <w:spacing w:before="0" w:after="0"/>
        <w:ind w:firstLine="482" w:firstLineChars="200"/>
        <w:textAlignment w:val="auto"/>
        <w:outlineLvl w:val="0"/>
        <w:rPr>
          <w:rFonts w:hint="eastAsia" w:ascii="仿宋" w:hAnsi="仿宋" w:eastAsia="仿宋" w:cs="仿宋"/>
          <w:color w:val="auto"/>
          <w:sz w:val="24"/>
          <w:szCs w:val="24"/>
        </w:rPr>
      </w:pPr>
      <w:bookmarkStart w:id="138" w:name="_Toc15600"/>
      <w:bookmarkStart w:id="139" w:name="_Toc4021"/>
      <w:bookmarkStart w:id="140" w:name="_Toc23908"/>
      <w:bookmarkStart w:id="141" w:name="_Toc14649"/>
      <w:bookmarkStart w:id="142" w:name="_Toc28151"/>
      <w:bookmarkStart w:id="143" w:name="_Toc492721016"/>
      <w:r>
        <w:rPr>
          <w:rFonts w:hint="eastAsia" w:ascii="仿宋" w:hAnsi="仿宋" w:eastAsia="仿宋" w:cs="仿宋"/>
          <w:color w:val="auto"/>
          <w:sz w:val="24"/>
          <w:szCs w:val="24"/>
        </w:rPr>
        <w:t>二、评标方法</w:t>
      </w:r>
      <w:bookmarkEnd w:id="138"/>
      <w:bookmarkEnd w:id="139"/>
      <w:bookmarkEnd w:id="140"/>
      <w:bookmarkEnd w:id="141"/>
      <w:bookmarkEnd w:id="142"/>
      <w:bookmarkEnd w:id="14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（一）</w:t>
      </w:r>
      <w:r>
        <w:rPr>
          <w:rFonts w:hint="eastAsia" w:ascii="仿宋" w:hAnsi="仿宋" w:eastAsia="仿宋" w:cs="仿宋"/>
          <w:color w:val="auto"/>
          <w:kern w:val="0"/>
          <w:sz w:val="24"/>
          <w:szCs w:val="24"/>
        </w:rPr>
        <w:t>本项目采用综合评分法进行评标。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u w:val="single"/>
        </w:rPr>
      </w:pPr>
      <w:r>
        <w:rPr>
          <w:rFonts w:hint="eastAsia" w:ascii="仿宋" w:hAnsi="仿宋" w:eastAsia="仿宋" w:cs="仿宋"/>
          <w:color w:val="auto"/>
          <w:kern w:val="0"/>
          <w:sz w:val="24"/>
          <w:szCs w:val="24"/>
        </w:rPr>
        <w:t>综合评分法，是指投标文件满足招标文件全部实质性要求且按照评审因素的量化指标评审得分最高的投标人为中标候选人的评标方法。投标人总得分为价格、技术等评定因素分别按照相应权重值计算分项得分后相加，满分为10</w:t>
      </w:r>
      <w:r>
        <w:rPr>
          <w:rFonts w:hint="eastAsia" w:ascii="仿宋" w:hAnsi="仿宋" w:eastAsia="仿宋" w:cs="仿宋"/>
          <w:color w:val="auto"/>
          <w:kern w:val="0"/>
          <w:sz w:val="24"/>
          <w:szCs w:val="24"/>
          <w:lang w:val="en-US" w:eastAsia="zh-CN"/>
        </w:rPr>
        <w:t>0</w:t>
      </w:r>
      <w:r>
        <w:rPr>
          <w:rFonts w:hint="eastAsia" w:ascii="仿宋" w:hAnsi="仿宋" w:eastAsia="仿宋" w:cs="仿宋"/>
          <w:color w:val="auto"/>
          <w:kern w:val="0"/>
          <w:sz w:val="24"/>
          <w:szCs w:val="24"/>
        </w:rPr>
        <w:t>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法定代表人授权代表签字，其澄清的内容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（三）比较与评价。按招标文件中规定的评标方法和标准，对资格审查和符合性审查合格的投标文件进行商务和技术评估。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一合同项（分包）下为单一品目或非单一品目核心产品品牌的货物采购招标中，提供相同品牌产品且通过资格审查、符合性审查的不同投标人参加的，按一家投标人计算，评审后得分最高的同品牌投标人获得中标人推荐资格；评审得分相同的，由</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或者</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评标委员会各成员独立对每个有效投标人（通过资格审查、</w:t>
      </w:r>
      <w:r>
        <w:rPr>
          <w:rFonts w:hint="eastAsia" w:ascii="仿宋" w:hAnsi="仿宋" w:eastAsia="仿宋" w:cs="仿宋"/>
          <w:color w:val="auto"/>
          <w:kern w:val="0"/>
          <w:sz w:val="24"/>
          <w:szCs w:val="24"/>
        </w:rPr>
        <w:t>符合性审查的投标人</w:t>
      </w:r>
      <w:r>
        <w:rPr>
          <w:rFonts w:hint="eastAsia" w:ascii="仿宋" w:hAnsi="仿宋" w:eastAsia="仿宋" w:cs="仿宋"/>
          <w:color w:val="auto"/>
          <w:sz w:val="24"/>
          <w:szCs w:val="24"/>
        </w:rPr>
        <w:t>）的投标文件进行评价、打分，然后由评标委员会对各成员打分情况进行核查及复核，个别成员对同一投标人同一评分项的打分偏离较大的，应对投标人的投标文件进行再次核对，确属打分有误的，应及时进行修正。</w:t>
      </w:r>
    </w:p>
    <w:p>
      <w:pPr>
        <w:keepNext w:val="0"/>
        <w:keepLines w:val="0"/>
        <w:pageBreakBefore w:val="0"/>
        <w:widowControl w:val="0"/>
        <w:kinsoku/>
        <w:wordWrap/>
        <w:overflowPunct/>
        <w:topLinePunct w:val="0"/>
        <w:autoSpaceDE/>
        <w:autoSpaceDN/>
        <w:bidi w:val="0"/>
        <w:adjustRightInd/>
        <w:snapToGrid w:val="0"/>
        <w:spacing w:line="276"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复核后，评标委员会汇总每个投标人每项评分因素的得分。</w:t>
      </w:r>
    </w:p>
    <w:p>
      <w:pPr>
        <w:keepNext w:val="0"/>
        <w:keepLines w:val="0"/>
        <w:pageBreakBefore w:val="0"/>
        <w:widowControl w:val="0"/>
        <w:kinsoku/>
        <w:wordWrap/>
        <w:overflowPunct/>
        <w:topLinePunct w:val="0"/>
        <w:autoSpaceDE/>
        <w:autoSpaceDN/>
        <w:bidi w:val="0"/>
        <w:adjustRightInd/>
        <w:snapToGrid w:val="0"/>
        <w:spacing w:line="276" w:lineRule="auto"/>
        <w:ind w:firstLine="480" w:firstLineChars="200"/>
        <w:textAlignment w:val="auto"/>
        <w:outlineLvl w:val="1"/>
        <w:rPr>
          <w:rFonts w:hint="eastAsia" w:ascii="仿宋" w:hAnsi="仿宋" w:eastAsia="仿宋" w:cs="仿宋"/>
          <w:color w:val="auto"/>
          <w:sz w:val="24"/>
          <w:szCs w:val="24"/>
        </w:rPr>
      </w:pPr>
      <w:bookmarkStart w:id="144" w:name="_Toc16843"/>
      <w:r>
        <w:rPr>
          <w:rFonts w:hint="eastAsia" w:ascii="仿宋" w:hAnsi="仿宋" w:eastAsia="仿宋" w:cs="仿宋"/>
          <w:color w:val="auto"/>
          <w:sz w:val="24"/>
          <w:szCs w:val="24"/>
        </w:rPr>
        <w:t>（四）推荐中标候选人名单。</w:t>
      </w:r>
      <w:bookmarkEnd w:id="144"/>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按评审后得分由高到低的排列顺序</w:t>
      </w:r>
      <w:r>
        <w:rPr>
          <w:rFonts w:hint="eastAsia" w:ascii="仿宋" w:hAnsi="仿宋" w:eastAsia="仿宋" w:cs="仿宋"/>
          <w:color w:val="auto"/>
          <w:kern w:val="0"/>
          <w:sz w:val="24"/>
          <w:szCs w:val="24"/>
        </w:rPr>
        <w:t>推荐综合得分排名前三的投标人为本分包（项目）中标候选人，</w:t>
      </w:r>
      <w:r>
        <w:rPr>
          <w:rFonts w:hint="eastAsia" w:ascii="仿宋" w:hAnsi="仿宋" w:eastAsia="仿宋" w:cs="仿宋"/>
          <w:color w:val="auto"/>
          <w:sz w:val="24"/>
          <w:szCs w:val="24"/>
        </w:rPr>
        <w:t>排名第一的为第一中标候选人。得分相同的，按投标报价由低到高顺序排列。得分且投标报价相同的</w:t>
      </w:r>
      <w:r>
        <w:rPr>
          <w:rFonts w:hint="eastAsia" w:ascii="仿宋" w:hAnsi="仿宋" w:eastAsia="仿宋" w:cs="仿宋"/>
          <w:color w:val="auto"/>
          <w:sz w:val="24"/>
          <w:szCs w:val="24"/>
          <w:lang w:eastAsia="zh-CN"/>
        </w:rPr>
        <w:t>由招标人采取</w:t>
      </w:r>
      <w:r>
        <w:rPr>
          <w:rFonts w:hint="eastAsia" w:ascii="仿宋" w:hAnsi="仿宋" w:eastAsia="仿宋" w:cs="仿宋"/>
          <w:color w:val="auto"/>
          <w:sz w:val="24"/>
          <w:szCs w:val="24"/>
          <w:u w:val="single"/>
          <w:lang w:eastAsia="zh-CN"/>
        </w:rPr>
        <w:t>随机抽取</w:t>
      </w:r>
      <w:r>
        <w:rPr>
          <w:rFonts w:hint="eastAsia" w:ascii="仿宋" w:hAnsi="仿宋" w:eastAsia="仿宋" w:cs="仿宋"/>
          <w:color w:val="auto"/>
          <w:sz w:val="24"/>
          <w:szCs w:val="24"/>
          <w:lang w:eastAsia="zh-CN"/>
        </w:rPr>
        <w:t>方式确定排名</w:t>
      </w:r>
      <w:r>
        <w:rPr>
          <w:rFonts w:hint="eastAsia" w:ascii="仿宋" w:hAnsi="仿宋" w:eastAsia="仿宋" w:cs="仿宋"/>
          <w:color w:val="auto"/>
          <w:sz w:val="24"/>
          <w:szCs w:val="24"/>
        </w:rPr>
        <w:t>。</w:t>
      </w:r>
    </w:p>
    <w:p>
      <w:pPr>
        <w:pStyle w:val="4"/>
        <w:keepNext/>
        <w:keepLines/>
        <w:pageBreakBefore w:val="0"/>
        <w:widowControl w:val="0"/>
        <w:kinsoku/>
        <w:wordWrap/>
        <w:overflowPunct/>
        <w:topLinePunct w:val="0"/>
        <w:autoSpaceDE/>
        <w:autoSpaceDN/>
        <w:bidi w:val="0"/>
        <w:adjustRightInd w:val="0"/>
        <w:snapToGrid w:val="0"/>
        <w:spacing w:before="0" w:after="0"/>
        <w:ind w:firstLine="482" w:firstLineChars="200"/>
        <w:textAlignment w:val="auto"/>
        <w:outlineLvl w:val="0"/>
        <w:rPr>
          <w:rFonts w:hint="eastAsia" w:ascii="仿宋" w:hAnsi="仿宋" w:eastAsia="仿宋" w:cs="仿宋"/>
          <w:color w:val="auto"/>
          <w:sz w:val="24"/>
          <w:szCs w:val="24"/>
          <w:lang w:eastAsia="zh-CN"/>
        </w:rPr>
      </w:pPr>
      <w:bookmarkStart w:id="145" w:name="_Toc19438"/>
      <w:bookmarkStart w:id="146" w:name="_Toc20943"/>
      <w:bookmarkStart w:id="147" w:name="_Toc21566"/>
      <w:bookmarkStart w:id="148" w:name="_Toc4870"/>
      <w:bookmarkStart w:id="149" w:name="_Toc12886"/>
      <w:r>
        <w:rPr>
          <w:rFonts w:hint="eastAsia" w:ascii="仿宋" w:hAnsi="仿宋" w:eastAsia="仿宋" w:cs="仿宋"/>
          <w:color w:val="auto"/>
          <w:sz w:val="24"/>
          <w:szCs w:val="24"/>
          <w:lang w:eastAsia="zh-CN"/>
        </w:rPr>
        <w:t>三、评标标准</w:t>
      </w:r>
      <w:bookmarkEnd w:id="136"/>
      <w:bookmarkEnd w:id="137"/>
      <w:bookmarkEnd w:id="145"/>
      <w:bookmarkEnd w:id="146"/>
      <w:bookmarkEnd w:id="147"/>
      <w:bookmarkEnd w:id="148"/>
      <w:bookmarkEnd w:id="149"/>
    </w:p>
    <w:p>
      <w:pPr>
        <w:snapToGrid w:val="0"/>
        <w:spacing w:line="240" w:lineRule="auto"/>
        <w:ind w:firstLine="465"/>
        <w:outlineLvl w:val="1"/>
        <w:rPr>
          <w:rFonts w:hint="eastAsia" w:ascii="仿宋" w:hAnsi="仿宋" w:eastAsia="仿宋" w:cs="仿宋"/>
          <w:color w:val="auto"/>
          <w:sz w:val="24"/>
          <w:szCs w:val="24"/>
        </w:rPr>
      </w:pPr>
      <w:bookmarkStart w:id="150" w:name="_Toc32259"/>
      <w:r>
        <w:rPr>
          <w:rFonts w:hint="eastAsia" w:ascii="仿宋" w:hAnsi="仿宋" w:eastAsia="仿宋" w:cs="仿宋"/>
          <w:color w:val="auto"/>
          <w:sz w:val="24"/>
          <w:szCs w:val="24"/>
        </w:rPr>
        <w:t>（一）评审因素</w:t>
      </w:r>
      <w:bookmarkEnd w:id="150"/>
    </w:p>
    <w:tbl>
      <w:tblPr>
        <w:tblStyle w:val="59"/>
        <w:tblpPr w:leftFromText="180" w:rightFromText="180" w:vertAnchor="text" w:horzAnchor="page" w:tblpX="1470" w:tblpY="21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00"/>
        <w:gridCol w:w="626"/>
        <w:gridCol w:w="1093"/>
        <w:gridCol w:w="5316"/>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69" w:type="dxa"/>
            <w:noWrap w:val="0"/>
            <w:vAlign w:val="top"/>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rPr>
            </w:pPr>
            <w:bookmarkStart w:id="151" w:name="_Toc492721018"/>
            <w:r>
              <w:rPr>
                <w:rFonts w:hint="eastAsia" w:ascii="仿宋" w:hAnsi="仿宋" w:eastAsia="仿宋" w:cs="仿宋"/>
                <w:b/>
                <w:bCs/>
                <w:color w:val="auto"/>
                <w:sz w:val="21"/>
                <w:szCs w:val="21"/>
                <w:highlight w:val="none"/>
              </w:rPr>
              <w:t>序号</w:t>
            </w:r>
          </w:p>
        </w:tc>
        <w:tc>
          <w:tcPr>
            <w:tcW w:w="900" w:type="dxa"/>
            <w:noWrap w:val="0"/>
            <w:vAlign w:val="top"/>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lang w:eastAsia="zh-CN"/>
              </w:rPr>
            </w:pPr>
            <w:r>
              <w:rPr>
                <w:rFonts w:hint="eastAsia" w:ascii="仿宋" w:hAnsi="仿宋" w:eastAsia="仿宋" w:cs="仿宋"/>
                <w:b/>
                <w:bCs/>
                <w:color w:val="auto"/>
                <w:sz w:val="21"/>
                <w:szCs w:val="21"/>
                <w:highlight w:val="none"/>
              </w:rPr>
              <w:t>评分因素</w:t>
            </w:r>
            <w:r>
              <w:rPr>
                <w:rFonts w:hint="eastAsia" w:ascii="仿宋" w:hAnsi="仿宋" w:eastAsia="仿宋" w:cs="仿宋"/>
                <w:b/>
                <w:bCs/>
                <w:color w:val="auto"/>
                <w:sz w:val="21"/>
                <w:szCs w:val="21"/>
                <w:highlight w:val="none"/>
                <w:lang w:val="en-US" w:eastAsia="zh-CN"/>
              </w:rPr>
              <w:t xml:space="preserve"> </w:t>
            </w:r>
          </w:p>
        </w:tc>
        <w:tc>
          <w:tcPr>
            <w:tcW w:w="626" w:type="dxa"/>
            <w:noWrap w:val="0"/>
            <w:vAlign w:val="top"/>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rPr>
              <w:t>分值</w:t>
            </w:r>
          </w:p>
        </w:tc>
        <w:tc>
          <w:tcPr>
            <w:tcW w:w="6409" w:type="dxa"/>
            <w:gridSpan w:val="2"/>
            <w:noWrap w:val="0"/>
            <w:vAlign w:val="top"/>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rPr>
              <w:t>评分标准</w:t>
            </w:r>
          </w:p>
        </w:tc>
        <w:tc>
          <w:tcPr>
            <w:tcW w:w="1113" w:type="dxa"/>
            <w:noWrap w:val="0"/>
            <w:vAlign w:val="top"/>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469" w:type="dxa"/>
            <w:vMerge w:val="restart"/>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w:t>
            </w:r>
          </w:p>
        </w:tc>
        <w:tc>
          <w:tcPr>
            <w:tcW w:w="900" w:type="dxa"/>
            <w:vMerge w:val="restart"/>
            <w:noWrap w:val="0"/>
            <w:vAlign w:val="center"/>
          </w:tcPr>
          <w:p>
            <w:pPr>
              <w:pStyle w:val="225"/>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投标</w:t>
            </w:r>
          </w:p>
          <w:p>
            <w:pPr>
              <w:pStyle w:val="225"/>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报价</w:t>
            </w:r>
          </w:p>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 xml:space="preserve"> </w:t>
            </w:r>
          </w:p>
        </w:tc>
        <w:tc>
          <w:tcPr>
            <w:tcW w:w="626" w:type="dxa"/>
            <w:vMerge w:val="restart"/>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70分</w:t>
            </w:r>
          </w:p>
        </w:tc>
        <w:tc>
          <w:tcPr>
            <w:tcW w:w="1093" w:type="dxa"/>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评标基准价计算方法</w:t>
            </w:r>
          </w:p>
        </w:tc>
        <w:tc>
          <w:tcPr>
            <w:tcW w:w="5316" w:type="dxa"/>
            <w:noWrap w:val="0"/>
            <w:vAlign w:val="center"/>
          </w:tcPr>
          <w:p>
            <w:pPr>
              <w:pStyle w:val="225"/>
              <w:keepNext w:val="0"/>
              <w:keepLines w:val="0"/>
              <w:pageBreakBefore w:val="0"/>
              <w:widowControl w:val="0"/>
              <w:kinsoku/>
              <w:wordWrap/>
              <w:overflowPunct/>
              <w:topLinePunct w:val="0"/>
              <w:autoSpaceDE/>
              <w:autoSpaceDN/>
              <w:bidi w:val="0"/>
              <w:adjustRightInd/>
              <w:snapToGrid/>
              <w:spacing w:line="276" w:lineRule="auto"/>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所有通过资格及符合性审查的投标人的投标总报价中去掉六分之一（不能整除的按小数点前整数取整，不足六家报价则不去掉）的最低价和相同家数的最高价后的算术平均值作为评标基准价。</w:t>
            </w:r>
          </w:p>
          <w:p>
            <w:pPr>
              <w:pStyle w:val="225"/>
              <w:keepNext w:val="0"/>
              <w:keepLines w:val="0"/>
              <w:pageBreakBefore w:val="0"/>
              <w:widowControl w:val="0"/>
              <w:kinsoku/>
              <w:wordWrap/>
              <w:overflowPunct/>
              <w:topLinePunct w:val="0"/>
              <w:autoSpaceDE/>
              <w:autoSpaceDN/>
              <w:bidi w:val="0"/>
              <w:adjustRightInd/>
              <w:snapToGrid/>
              <w:spacing w:line="276" w:lineRule="auto"/>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在评标基准价计算完成后（除计算错误外），在后续的评审中不得再对其做出调整。</w:t>
            </w:r>
          </w:p>
        </w:tc>
        <w:tc>
          <w:tcPr>
            <w:tcW w:w="1113" w:type="dxa"/>
            <w:vMerge w:val="restart"/>
            <w:noWrap w:val="0"/>
            <w:textDirection w:val="tbRlV"/>
            <w:vAlign w:val="center"/>
          </w:tcPr>
          <w:p>
            <w:pPr>
              <w:pStyle w:val="228"/>
              <w:keepNext w:val="0"/>
              <w:keepLines w:val="0"/>
              <w:pageBreakBefore w:val="0"/>
              <w:widowControl w:val="0"/>
              <w:kinsoku/>
              <w:wordWrap/>
              <w:overflowPunct/>
              <w:topLinePunct w:val="0"/>
              <w:bidi w:val="0"/>
              <w:snapToGrid/>
              <w:spacing w:line="276" w:lineRule="auto"/>
              <w:ind w:left="113" w:right="113"/>
              <w:jc w:val="center"/>
              <w:textAlignment w:val="auto"/>
              <w:rPr>
                <w:rFonts w:hint="eastAsia" w:ascii="仿宋" w:hAnsi="仿宋" w:eastAsia="仿宋" w:cs="仿宋"/>
                <w:color w:val="auto"/>
                <w:kern w:val="2"/>
                <w:sz w:val="21"/>
                <w:szCs w:val="21"/>
                <w:highlight w:val="none"/>
                <w:lang w:val="en-US" w:eastAsia="zh-CN" w:bidi="ar-SA"/>
              </w:rPr>
            </w:pPr>
          </w:p>
          <w:p>
            <w:pPr>
              <w:pStyle w:val="228"/>
              <w:keepNext w:val="0"/>
              <w:keepLines w:val="0"/>
              <w:pageBreakBefore w:val="0"/>
              <w:widowControl w:val="0"/>
              <w:kinsoku/>
              <w:wordWrap/>
              <w:overflowPunct/>
              <w:topLinePunct w:val="0"/>
              <w:bidi w:val="0"/>
              <w:snapToGrid/>
              <w:spacing w:line="276" w:lineRule="auto"/>
              <w:ind w:left="113" w:right="113"/>
              <w:jc w:val="both"/>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color w:val="auto"/>
                <w:kern w:val="2"/>
                <w:sz w:val="21"/>
                <w:szCs w:val="21"/>
                <w:highlight w:val="none"/>
                <w:lang w:val="en-US" w:eastAsia="zh-CN" w:bidi="ar-SA"/>
              </w:rPr>
              <w:t>计算的结果取小数点后两位，第三位四舍五入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69"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sz w:val="21"/>
                <w:szCs w:val="21"/>
                <w:highlight w:val="none"/>
                <w:vertAlign w:val="baseline"/>
              </w:rPr>
            </w:pPr>
          </w:p>
        </w:tc>
        <w:tc>
          <w:tcPr>
            <w:tcW w:w="900"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kern w:val="0"/>
                <w:sz w:val="21"/>
                <w:szCs w:val="21"/>
                <w:highlight w:val="none"/>
                <w:lang w:val="en-US" w:eastAsia="zh-CN" w:bidi="ar-SA"/>
              </w:rPr>
            </w:pPr>
          </w:p>
        </w:tc>
        <w:tc>
          <w:tcPr>
            <w:tcW w:w="626"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kern w:val="0"/>
                <w:sz w:val="21"/>
                <w:szCs w:val="21"/>
                <w:highlight w:val="none"/>
                <w:lang w:val="en-US" w:eastAsia="zh-CN" w:bidi="ar-SA"/>
              </w:rPr>
            </w:pPr>
          </w:p>
        </w:tc>
        <w:tc>
          <w:tcPr>
            <w:tcW w:w="1093" w:type="dxa"/>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投标报价的偏差率计算公式</w:t>
            </w:r>
          </w:p>
        </w:tc>
        <w:tc>
          <w:tcPr>
            <w:tcW w:w="5316" w:type="dxa"/>
            <w:noWrap w:val="0"/>
            <w:vAlign w:val="center"/>
          </w:tcPr>
          <w:p>
            <w:pPr>
              <w:pStyle w:val="228"/>
              <w:keepNext w:val="0"/>
              <w:keepLines w:val="0"/>
              <w:pageBreakBefore w:val="0"/>
              <w:widowControl w:val="0"/>
              <w:kinsoku/>
              <w:wordWrap/>
              <w:overflowPunct/>
              <w:topLinePunct w:val="0"/>
              <w:bidi w:val="0"/>
              <w:snapToGrid/>
              <w:spacing w:line="276" w:lineRule="auto"/>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偏差率=100％×（投标报价一评标基准价）／评标基准价</w:t>
            </w:r>
          </w:p>
        </w:tc>
        <w:tc>
          <w:tcPr>
            <w:tcW w:w="1113"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469"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sz w:val="21"/>
                <w:szCs w:val="21"/>
                <w:highlight w:val="none"/>
                <w:vertAlign w:val="baseline"/>
              </w:rPr>
            </w:pPr>
          </w:p>
        </w:tc>
        <w:tc>
          <w:tcPr>
            <w:tcW w:w="900"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kern w:val="0"/>
                <w:sz w:val="21"/>
                <w:szCs w:val="21"/>
                <w:highlight w:val="none"/>
                <w:lang w:val="en-US" w:eastAsia="zh-CN" w:bidi="ar-SA"/>
              </w:rPr>
            </w:pPr>
          </w:p>
        </w:tc>
        <w:tc>
          <w:tcPr>
            <w:tcW w:w="626"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kern w:val="0"/>
                <w:sz w:val="21"/>
                <w:szCs w:val="21"/>
                <w:highlight w:val="none"/>
                <w:lang w:val="en-US" w:eastAsia="zh-CN" w:bidi="ar-SA"/>
              </w:rPr>
            </w:pPr>
          </w:p>
        </w:tc>
        <w:tc>
          <w:tcPr>
            <w:tcW w:w="1093" w:type="dxa"/>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投标总报价得分</w:t>
            </w:r>
          </w:p>
        </w:tc>
        <w:tc>
          <w:tcPr>
            <w:tcW w:w="5316" w:type="dxa"/>
            <w:noWrap w:val="0"/>
            <w:vAlign w:val="center"/>
          </w:tcPr>
          <w:p>
            <w:pPr>
              <w:pStyle w:val="225"/>
              <w:keepNext w:val="0"/>
              <w:keepLines w:val="0"/>
              <w:pageBreakBefore w:val="0"/>
              <w:widowControl w:val="0"/>
              <w:kinsoku/>
              <w:wordWrap/>
              <w:overflowPunct/>
              <w:topLinePunct w:val="0"/>
              <w:autoSpaceDE/>
              <w:autoSpaceDN/>
              <w:bidi w:val="0"/>
              <w:adjustRightInd/>
              <w:snapToGrid/>
              <w:spacing w:line="276" w:lineRule="auto"/>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所有通过资格及符合性审查的投标人的投标总报价，得本表规定分值的满分70分。在此基础上，投标总报价与评标基准价相比，每增加1%扣　0.5　分，每减少1%扣　0.25分，扣完为止。</w:t>
            </w:r>
          </w:p>
          <w:p>
            <w:pPr>
              <w:pStyle w:val="225"/>
              <w:keepNext w:val="0"/>
              <w:keepLines w:val="0"/>
              <w:pageBreakBefore w:val="0"/>
              <w:widowControl w:val="0"/>
              <w:kinsoku/>
              <w:wordWrap/>
              <w:overflowPunct/>
              <w:topLinePunct w:val="0"/>
              <w:autoSpaceDE/>
              <w:autoSpaceDN/>
              <w:bidi w:val="0"/>
              <w:adjustRightInd/>
              <w:snapToGrid/>
              <w:spacing w:line="276" w:lineRule="auto"/>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按插入法计算得分。未参与评标基准价计算的投标报价，仍应参加计算相应分值。</w:t>
            </w:r>
          </w:p>
        </w:tc>
        <w:tc>
          <w:tcPr>
            <w:tcW w:w="1113"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469" w:type="dxa"/>
            <w:vMerge w:val="restart"/>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900" w:type="dxa"/>
            <w:vMerge w:val="restart"/>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 xml:space="preserve">技术部分（服务方案） </w:t>
            </w:r>
          </w:p>
        </w:tc>
        <w:tc>
          <w:tcPr>
            <w:tcW w:w="1719" w:type="dxa"/>
            <w:gridSpan w:val="2"/>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供货计划及保证措施（10分）</w:t>
            </w:r>
          </w:p>
        </w:tc>
        <w:tc>
          <w:tcPr>
            <w:tcW w:w="5316" w:type="dxa"/>
            <w:noWrap w:val="0"/>
            <w:vAlign w:val="center"/>
          </w:tcPr>
          <w:p>
            <w:pPr>
              <w:keepNext w:val="0"/>
              <w:keepLines w:val="0"/>
              <w:pageBreakBefore w:val="0"/>
              <w:widowControl w:val="0"/>
              <w:kinsoku/>
              <w:wordWrap/>
              <w:overflowPunct/>
              <w:topLinePunct w:val="0"/>
              <w:bidi w:val="0"/>
              <w:snapToGrid/>
              <w:spacing w:line="276" w:lineRule="auto"/>
              <w:ind w:left="133" w:leftChars="41" w:hanging="18" w:hangingChars="9"/>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供货计划保证措施得力、得当.</w:t>
            </w:r>
          </w:p>
          <w:p>
            <w:pPr>
              <w:keepNext w:val="0"/>
              <w:keepLines w:val="0"/>
              <w:pageBreakBefore w:val="0"/>
              <w:widowControl w:val="0"/>
              <w:kinsoku/>
              <w:wordWrap/>
              <w:overflowPunct/>
              <w:topLinePunct w:val="0"/>
              <w:bidi w:val="0"/>
              <w:snapToGrid/>
              <w:spacing w:line="276" w:lineRule="auto"/>
              <w:ind w:left="133" w:leftChars="41" w:hanging="18" w:hangingChars="9"/>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好10.0～7.0分、较好6.9～3.4分、一般3.3～0分</w:t>
            </w:r>
          </w:p>
        </w:tc>
        <w:tc>
          <w:tcPr>
            <w:tcW w:w="1113" w:type="dxa"/>
            <w:vMerge w:val="restart"/>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服务方案不得超过100页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 w:type="dxa"/>
            <w:vMerge w:val="continue"/>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rPr>
            </w:pPr>
          </w:p>
        </w:tc>
        <w:tc>
          <w:tcPr>
            <w:tcW w:w="900" w:type="dxa"/>
            <w:vMerge w:val="continue"/>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p>
        </w:tc>
        <w:tc>
          <w:tcPr>
            <w:tcW w:w="1719" w:type="dxa"/>
            <w:gridSpan w:val="2"/>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质量保证措施（1</w:t>
            </w:r>
            <w:r>
              <w:rPr>
                <w:rFonts w:hint="eastAsia" w:eastAsia="仿宋" w:cs="仿宋"/>
                <w:color w:val="auto"/>
                <w:kern w:val="0"/>
                <w:sz w:val="21"/>
                <w:szCs w:val="21"/>
                <w:highlight w:val="none"/>
                <w:lang w:val="en-US" w:eastAsia="zh-CN" w:bidi="ar-SA"/>
              </w:rPr>
              <w:t>0</w:t>
            </w:r>
            <w:r>
              <w:rPr>
                <w:rFonts w:hint="eastAsia" w:ascii="仿宋" w:hAnsi="仿宋" w:eastAsia="仿宋" w:cs="仿宋"/>
                <w:color w:val="auto"/>
                <w:kern w:val="0"/>
                <w:sz w:val="21"/>
                <w:szCs w:val="21"/>
                <w:highlight w:val="none"/>
                <w:lang w:val="en-US" w:eastAsia="zh-CN" w:bidi="ar-SA"/>
              </w:rPr>
              <w:t>分）</w:t>
            </w:r>
          </w:p>
        </w:tc>
        <w:tc>
          <w:tcPr>
            <w:tcW w:w="5316" w:type="dxa"/>
            <w:noWrap w:val="0"/>
            <w:vAlign w:val="center"/>
          </w:tcPr>
          <w:p>
            <w:pPr>
              <w:keepNext w:val="0"/>
              <w:keepLines w:val="0"/>
              <w:pageBreakBefore w:val="0"/>
              <w:widowControl w:val="0"/>
              <w:kinsoku/>
              <w:wordWrap/>
              <w:overflowPunct/>
              <w:topLinePunct w:val="0"/>
              <w:bidi w:val="0"/>
              <w:snapToGrid/>
              <w:spacing w:line="276" w:lineRule="auto"/>
              <w:ind w:left="133" w:leftChars="41" w:hanging="18" w:hangingChars="9"/>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质量保证措施得力、得当。</w:t>
            </w:r>
          </w:p>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好1</w:t>
            </w:r>
            <w:r>
              <w:rPr>
                <w:rFonts w:hint="eastAsia" w:eastAsia="仿宋" w:cs="仿宋"/>
                <w:color w:val="auto"/>
                <w:kern w:val="0"/>
                <w:sz w:val="21"/>
                <w:szCs w:val="21"/>
                <w:highlight w:val="none"/>
                <w:lang w:val="en-US" w:eastAsia="zh-CN" w:bidi="ar-SA"/>
              </w:rPr>
              <w:t>0</w:t>
            </w:r>
            <w:r>
              <w:rPr>
                <w:rFonts w:hint="eastAsia" w:ascii="仿宋" w:hAnsi="仿宋" w:eastAsia="仿宋" w:cs="仿宋"/>
                <w:color w:val="auto"/>
                <w:kern w:val="0"/>
                <w:sz w:val="21"/>
                <w:szCs w:val="21"/>
                <w:highlight w:val="none"/>
                <w:lang w:val="en-US" w:eastAsia="zh-CN" w:bidi="ar-SA"/>
              </w:rPr>
              <w:t>.0～8.0分、较好7.9～4.0分、一般3.9～0分</w:t>
            </w:r>
          </w:p>
        </w:tc>
        <w:tc>
          <w:tcPr>
            <w:tcW w:w="1113"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sz w:val="21"/>
                <w:szCs w:val="21"/>
                <w:highlight w:val="yellow"/>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69" w:type="dxa"/>
            <w:vMerge w:val="continue"/>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sz w:val="21"/>
                <w:szCs w:val="21"/>
                <w:highlight w:val="none"/>
                <w:vertAlign w:val="baseline"/>
              </w:rPr>
            </w:pPr>
          </w:p>
        </w:tc>
        <w:tc>
          <w:tcPr>
            <w:tcW w:w="900" w:type="dxa"/>
            <w:vMerge w:val="continue"/>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p>
        </w:tc>
        <w:tc>
          <w:tcPr>
            <w:tcW w:w="1719" w:type="dxa"/>
            <w:gridSpan w:val="2"/>
            <w:noWrap w:val="0"/>
            <w:vAlign w:val="center"/>
          </w:tcPr>
          <w:p>
            <w:pPr>
              <w:pStyle w:val="228"/>
              <w:keepNext w:val="0"/>
              <w:keepLines w:val="0"/>
              <w:pageBreakBefore w:val="0"/>
              <w:widowControl w:val="0"/>
              <w:kinsoku/>
              <w:wordWrap/>
              <w:overflowPunct/>
              <w:topLinePunct w:val="0"/>
              <w:bidi w:val="0"/>
              <w:snapToGrid/>
              <w:spacing w:line="276" w:lineRule="auto"/>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售后服务情况（10分）</w:t>
            </w:r>
          </w:p>
        </w:tc>
        <w:tc>
          <w:tcPr>
            <w:tcW w:w="5316" w:type="dxa"/>
            <w:noWrap w:val="0"/>
            <w:vAlign w:val="center"/>
          </w:tcPr>
          <w:p>
            <w:pPr>
              <w:keepNext w:val="0"/>
              <w:keepLines w:val="0"/>
              <w:pageBreakBefore w:val="0"/>
              <w:widowControl w:val="0"/>
              <w:kinsoku/>
              <w:wordWrap/>
              <w:overflowPunct/>
              <w:topLinePunct w:val="0"/>
              <w:bidi w:val="0"/>
              <w:snapToGrid/>
              <w:spacing w:line="276" w:lineRule="auto"/>
              <w:ind w:left="133" w:leftChars="41" w:hanging="18" w:hangingChars="9"/>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售后服务承诺周到、细致、满足用户要求且售后服务体系完备。</w:t>
            </w:r>
          </w:p>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好10.0～7.0分、较好6.9～3.4分、一般3.3～0分</w:t>
            </w:r>
          </w:p>
        </w:tc>
        <w:tc>
          <w:tcPr>
            <w:tcW w:w="1113" w:type="dxa"/>
            <w:vMerge w:val="continue"/>
            <w:noWrap w:val="0"/>
            <w:vAlign w:val="top"/>
          </w:tcPr>
          <w:p>
            <w:pPr>
              <w:pStyle w:val="228"/>
              <w:keepNext w:val="0"/>
              <w:keepLines w:val="0"/>
              <w:pageBreakBefore w:val="0"/>
              <w:widowControl w:val="0"/>
              <w:kinsoku/>
              <w:wordWrap/>
              <w:overflowPunct/>
              <w:topLinePunct w:val="0"/>
              <w:bidi w:val="0"/>
              <w:snapToGrid/>
              <w:spacing w:line="276" w:lineRule="auto"/>
              <w:jc w:val="both"/>
              <w:textAlignment w:val="auto"/>
              <w:rPr>
                <w:rFonts w:hint="eastAsia" w:ascii="仿宋" w:hAnsi="仿宋" w:eastAsia="仿宋" w:cs="仿宋"/>
                <w:color w:val="auto"/>
                <w:sz w:val="21"/>
                <w:szCs w:val="21"/>
                <w:highlight w:val="yellow"/>
                <w:vertAlign w:val="baseline"/>
              </w:rPr>
            </w:pPr>
          </w:p>
        </w:tc>
      </w:tr>
    </w:tbl>
    <w:p>
      <w:pPr>
        <w:snapToGrid w:val="0"/>
        <w:spacing w:line="360" w:lineRule="auto"/>
        <w:ind w:firstLine="465"/>
        <w:rPr>
          <w:rFonts w:hint="eastAsia" w:ascii="仿宋" w:hAnsi="仿宋" w:eastAsia="仿宋" w:cs="仿宋"/>
          <w:color w:val="auto"/>
          <w:sz w:val="24"/>
          <w:szCs w:val="24"/>
        </w:rPr>
      </w:pPr>
      <w:r>
        <w:rPr>
          <w:rFonts w:hint="eastAsia" w:ascii="仿宋" w:hAnsi="仿宋" w:eastAsia="仿宋" w:cs="仿宋"/>
          <w:color w:val="auto"/>
          <w:sz w:val="24"/>
          <w:szCs w:val="24"/>
        </w:rPr>
        <w:t>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keepNext/>
        <w:keepLines/>
        <w:pageBreakBefore w:val="0"/>
        <w:widowControl w:val="0"/>
        <w:kinsoku/>
        <w:wordWrap/>
        <w:overflowPunct/>
        <w:topLinePunct w:val="0"/>
        <w:autoSpaceDE/>
        <w:autoSpaceDN/>
        <w:bidi w:val="0"/>
        <w:adjustRightInd w:val="0"/>
        <w:snapToGrid w:val="0"/>
        <w:spacing w:before="0" w:after="0"/>
        <w:ind w:firstLine="482" w:firstLineChars="200"/>
        <w:textAlignment w:val="auto"/>
        <w:outlineLvl w:val="0"/>
        <w:rPr>
          <w:rFonts w:hint="eastAsia" w:ascii="仿宋" w:hAnsi="仿宋" w:eastAsia="仿宋" w:cs="仿宋"/>
          <w:color w:val="auto"/>
          <w:sz w:val="24"/>
          <w:szCs w:val="24"/>
        </w:rPr>
      </w:pPr>
      <w:bookmarkStart w:id="152" w:name="_Toc20638"/>
      <w:bookmarkStart w:id="153" w:name="_Toc31022"/>
      <w:bookmarkStart w:id="154" w:name="_Toc24500"/>
      <w:bookmarkStart w:id="155" w:name="_Toc31744"/>
      <w:bookmarkStart w:id="156" w:name="_Toc10368"/>
      <w:r>
        <w:rPr>
          <w:rFonts w:hint="eastAsia" w:ascii="仿宋" w:hAnsi="仿宋" w:eastAsia="仿宋" w:cs="仿宋"/>
          <w:color w:val="auto"/>
          <w:sz w:val="24"/>
          <w:szCs w:val="24"/>
        </w:rPr>
        <w:t>四、无效投标条款</w:t>
      </w:r>
      <w:bookmarkEnd w:id="151"/>
      <w:bookmarkEnd w:id="152"/>
      <w:bookmarkEnd w:id="153"/>
      <w:bookmarkEnd w:id="154"/>
      <w:bookmarkEnd w:id="155"/>
      <w:bookmarkEnd w:id="156"/>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投标人或其投标文件出现下列情况之一者，应为无效投标：</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（一）投标文件未按招标文件要求签署、盖章的；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（二）不具备招标文件中规定的资格要求的；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（三）报价超过招标文件中规定的预算金额或者最高限价的；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（四）投标文件含有</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不能接受的附加条件的；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（五）投标人串通投标的；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w:t>
      </w:r>
      <w:r>
        <w:rPr>
          <w:rStyle w:val="66"/>
          <w:rFonts w:hint="eastAsia" w:ascii="仿宋" w:hAnsi="仿宋" w:eastAsia="仿宋" w:cs="仿宋"/>
          <w:color w:val="auto"/>
          <w:sz w:val="24"/>
          <w:szCs w:val="24"/>
        </w:rPr>
        <w:t>投标人组成联合体投标的（拒绝联合体投标时适用）</w:t>
      </w:r>
      <w:r>
        <w:rPr>
          <w:rFonts w:hint="eastAsia" w:ascii="仿宋" w:hAnsi="仿宋" w:eastAsia="仿宋" w:cs="仿宋"/>
          <w:color w:val="auto"/>
          <w:sz w:val="24"/>
          <w:szCs w:val="24"/>
        </w:rPr>
        <w:t>；</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（七）法律、法规和招标文件规定的其他无效情形。</w:t>
      </w:r>
    </w:p>
    <w:p>
      <w:pPr>
        <w:pStyle w:val="4"/>
        <w:keepNext/>
        <w:keepLines/>
        <w:pageBreakBefore w:val="0"/>
        <w:widowControl w:val="0"/>
        <w:kinsoku/>
        <w:wordWrap/>
        <w:overflowPunct/>
        <w:topLinePunct w:val="0"/>
        <w:autoSpaceDE/>
        <w:autoSpaceDN/>
        <w:bidi w:val="0"/>
        <w:adjustRightInd w:val="0"/>
        <w:snapToGrid w:val="0"/>
        <w:spacing w:before="0" w:after="0"/>
        <w:ind w:firstLine="482" w:firstLineChars="200"/>
        <w:textAlignment w:val="auto"/>
        <w:outlineLvl w:val="0"/>
        <w:rPr>
          <w:rFonts w:hint="eastAsia" w:ascii="仿宋" w:hAnsi="仿宋" w:eastAsia="仿宋" w:cs="仿宋"/>
          <w:color w:val="auto"/>
          <w:sz w:val="24"/>
          <w:szCs w:val="24"/>
        </w:rPr>
      </w:pPr>
      <w:bookmarkStart w:id="157" w:name="_Toc24256"/>
      <w:bookmarkStart w:id="158" w:name="_Toc13712"/>
      <w:bookmarkStart w:id="159" w:name="_Toc492721019"/>
      <w:bookmarkStart w:id="160" w:name="_Toc8324"/>
      <w:bookmarkStart w:id="161" w:name="_Toc26424"/>
      <w:bookmarkStart w:id="162" w:name="_Toc32295"/>
      <w:r>
        <w:rPr>
          <w:rFonts w:hint="eastAsia" w:ascii="仿宋" w:hAnsi="仿宋" w:eastAsia="仿宋" w:cs="仿宋"/>
          <w:color w:val="auto"/>
          <w:sz w:val="24"/>
          <w:szCs w:val="24"/>
        </w:rPr>
        <w:t>五、废标条款</w:t>
      </w:r>
      <w:bookmarkEnd w:id="157"/>
      <w:bookmarkEnd w:id="158"/>
      <w:bookmarkEnd w:id="159"/>
      <w:bookmarkEnd w:id="160"/>
      <w:bookmarkEnd w:id="161"/>
      <w:bookmarkEnd w:id="162"/>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评标委员会评审时出现以下情况之一的，应予废标：</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（一）符合专业条件的投标人或者对招标文件作实质响应的投标人不足三家的；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（二）投标人的报价均超过了采购预算，</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不能支付的；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（三）出现影响采购公正的违法、违规行为的；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（四）因重大变故，采购任务取消的。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废标后，除采购任务取消情形外，应当重新组织采购。</w:t>
      </w:r>
    </w:p>
    <w:p>
      <w:pPr>
        <w:pStyle w:val="3"/>
        <w:spacing w:before="0" w:beforeLines="0" w:after="0" w:afterLines="0" w:line="240" w:lineRule="auto"/>
        <w:outlineLvl w:val="1"/>
        <w:rPr>
          <w:rFonts w:hint="eastAsia" w:ascii="仿宋" w:hAnsi="仿宋" w:eastAsia="仿宋" w:cs="仿宋"/>
          <w:b/>
          <w:bCs/>
          <w:color w:val="auto"/>
          <w:sz w:val="44"/>
          <w:szCs w:val="44"/>
        </w:rPr>
      </w:pPr>
      <w:r>
        <w:rPr>
          <w:rFonts w:hint="eastAsia" w:ascii="仿宋" w:hAnsi="仿宋" w:eastAsia="仿宋" w:cs="仿宋"/>
          <w:color w:val="auto"/>
          <w:sz w:val="30"/>
          <w:szCs w:val="30"/>
        </w:rPr>
        <w:br w:type="page"/>
      </w:r>
      <w:bookmarkEnd w:id="132"/>
      <w:bookmarkEnd w:id="133"/>
      <w:bookmarkEnd w:id="134"/>
      <w:bookmarkStart w:id="163" w:name="_Toc423596058"/>
      <w:bookmarkStart w:id="164" w:name="_Toc429558982"/>
      <w:bookmarkStart w:id="165" w:name="_Toc23013"/>
      <w:bookmarkStart w:id="166" w:name="_Toc16891"/>
      <w:r>
        <w:rPr>
          <w:rFonts w:hint="eastAsia" w:ascii="仿宋" w:hAnsi="仿宋" w:eastAsia="仿宋" w:cs="仿宋"/>
          <w:b/>
          <w:bCs/>
          <w:color w:val="auto"/>
          <w:sz w:val="44"/>
          <w:szCs w:val="44"/>
        </w:rPr>
        <w:t>第五篇  投标人须知</w:t>
      </w:r>
      <w:bookmarkEnd w:id="163"/>
      <w:bookmarkEnd w:id="164"/>
      <w:bookmarkEnd w:id="165"/>
      <w:bookmarkEnd w:id="166"/>
    </w:p>
    <w:p>
      <w:pPr>
        <w:pStyle w:val="4"/>
        <w:spacing w:line="240" w:lineRule="auto"/>
        <w:ind w:left="0" w:leftChars="0" w:firstLine="501" w:firstLineChars="208"/>
        <w:outlineLvl w:val="0"/>
        <w:rPr>
          <w:rFonts w:hint="eastAsia" w:ascii="仿宋" w:hAnsi="仿宋" w:eastAsia="仿宋" w:cs="仿宋"/>
          <w:b/>
          <w:color w:val="auto"/>
          <w:sz w:val="24"/>
        </w:rPr>
      </w:pPr>
      <w:bookmarkStart w:id="167" w:name="_Toc75793524"/>
      <w:bookmarkStart w:id="168" w:name="_Toc12408"/>
      <w:bookmarkStart w:id="169" w:name="_Toc23793"/>
      <w:bookmarkStart w:id="170" w:name="_Toc423596068"/>
      <w:bookmarkStart w:id="171" w:name="_Toc429558992"/>
      <w:bookmarkStart w:id="172" w:name="_Hlk104974151"/>
      <w:r>
        <w:rPr>
          <w:rFonts w:hint="eastAsia" w:ascii="仿宋" w:hAnsi="仿宋" w:eastAsia="仿宋" w:cs="仿宋"/>
          <w:b/>
          <w:color w:val="auto"/>
          <w:lang w:val="en-US" w:eastAsia="zh-CN"/>
        </w:rPr>
        <w:t xml:space="preserve"> </w:t>
      </w:r>
      <w:bookmarkStart w:id="173" w:name="_Toc19703"/>
      <w:bookmarkStart w:id="174" w:name="_Toc23157"/>
      <w:bookmarkStart w:id="175" w:name="_Toc28072"/>
      <w:r>
        <w:rPr>
          <w:rFonts w:hint="eastAsia" w:ascii="仿宋" w:hAnsi="仿宋" w:eastAsia="仿宋" w:cs="仿宋"/>
          <w:b/>
          <w:color w:val="auto"/>
          <w:sz w:val="24"/>
        </w:rPr>
        <w:t>一、投标人</w:t>
      </w:r>
      <w:bookmarkEnd w:id="167"/>
      <w:bookmarkEnd w:id="168"/>
      <w:bookmarkEnd w:id="169"/>
      <w:bookmarkEnd w:id="173"/>
      <w:bookmarkEnd w:id="174"/>
      <w:bookmarkEnd w:id="175"/>
    </w:p>
    <w:p>
      <w:pPr>
        <w:snapToGrid w:val="0"/>
        <w:spacing w:line="400" w:lineRule="exact"/>
        <w:ind w:firstLine="480" w:firstLineChars="200"/>
        <w:outlineLvl w:val="1"/>
        <w:rPr>
          <w:rFonts w:hint="eastAsia" w:ascii="仿宋" w:hAnsi="仿宋" w:eastAsia="仿宋" w:cs="仿宋"/>
          <w:color w:val="auto"/>
          <w:sz w:val="24"/>
        </w:rPr>
      </w:pPr>
      <w:bookmarkStart w:id="176" w:name="_Toc5414"/>
      <w:r>
        <w:rPr>
          <w:rFonts w:hint="eastAsia" w:ascii="仿宋" w:hAnsi="仿宋" w:eastAsia="仿宋" w:cs="仿宋"/>
          <w:color w:val="auto"/>
          <w:sz w:val="24"/>
        </w:rPr>
        <w:t>（一）投标人</w:t>
      </w:r>
      <w:bookmarkEnd w:id="176"/>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投标人是指响应招标、参加投标竞争的法人、其他组织或者自然人。</w:t>
      </w:r>
    </w:p>
    <w:p>
      <w:pPr>
        <w:snapToGrid w:val="0"/>
        <w:spacing w:line="400" w:lineRule="exact"/>
        <w:ind w:firstLine="480" w:firstLineChars="200"/>
        <w:outlineLvl w:val="1"/>
        <w:rPr>
          <w:rFonts w:hint="eastAsia" w:ascii="仿宋" w:hAnsi="仿宋" w:eastAsia="仿宋" w:cs="仿宋"/>
          <w:color w:val="auto"/>
          <w:sz w:val="24"/>
        </w:rPr>
      </w:pPr>
      <w:bookmarkStart w:id="177" w:name="_Toc15229"/>
      <w:r>
        <w:rPr>
          <w:rFonts w:hint="eastAsia" w:ascii="仿宋" w:hAnsi="仿宋" w:eastAsia="仿宋" w:cs="仿宋"/>
          <w:color w:val="auto"/>
          <w:sz w:val="24"/>
        </w:rPr>
        <w:t>（二）合格投标人条件</w:t>
      </w:r>
      <w:bookmarkEnd w:id="177"/>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合格投标人应完全符合招标文件第一篇中规定的投标人资格条件，并对招标文件作出实质性响应。</w:t>
      </w:r>
    </w:p>
    <w:p>
      <w:pPr>
        <w:snapToGrid w:val="0"/>
        <w:spacing w:line="400" w:lineRule="exact"/>
        <w:ind w:firstLine="480" w:firstLineChars="200"/>
        <w:outlineLvl w:val="1"/>
        <w:rPr>
          <w:rFonts w:hint="eastAsia" w:ascii="仿宋" w:hAnsi="仿宋" w:eastAsia="仿宋" w:cs="仿宋"/>
          <w:color w:val="auto"/>
          <w:sz w:val="24"/>
          <w:szCs w:val="28"/>
        </w:rPr>
      </w:pPr>
      <w:bookmarkStart w:id="178" w:name="_Toc24520"/>
      <w:r>
        <w:rPr>
          <w:rFonts w:hint="eastAsia" w:ascii="仿宋" w:hAnsi="仿宋" w:eastAsia="仿宋" w:cs="仿宋"/>
          <w:color w:val="auto"/>
          <w:sz w:val="24"/>
          <w:szCs w:val="28"/>
        </w:rPr>
        <w:t>（三）投标人的风险</w:t>
      </w:r>
      <w:bookmarkEnd w:id="178"/>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outlineLvl w:val="1"/>
        <w:rPr>
          <w:rFonts w:hint="eastAsia" w:ascii="仿宋" w:hAnsi="仿宋" w:eastAsia="仿宋" w:cs="仿宋"/>
          <w:color w:val="auto"/>
          <w:sz w:val="24"/>
        </w:rPr>
      </w:pPr>
      <w:bookmarkStart w:id="179" w:name="_Toc1828"/>
      <w:r>
        <w:rPr>
          <w:rFonts w:hint="eastAsia" w:ascii="仿宋" w:hAnsi="仿宋" w:eastAsia="仿宋" w:cs="仿宋"/>
          <w:color w:val="auto"/>
          <w:sz w:val="24"/>
        </w:rPr>
        <w:t>（四）法律责任</w:t>
      </w:r>
      <w:bookmarkEnd w:id="179"/>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投标人违反《中华人民共和国政府采购法》、《中华人民共和国政府采购实施条例》等相关规定，将按规定追究投标人法律责任。</w:t>
      </w:r>
    </w:p>
    <w:p>
      <w:pPr>
        <w:pStyle w:val="4"/>
        <w:spacing w:line="240" w:lineRule="auto"/>
        <w:ind w:left="0" w:leftChars="0" w:firstLine="501" w:firstLineChars="208"/>
        <w:outlineLvl w:val="0"/>
        <w:rPr>
          <w:rFonts w:hint="eastAsia" w:ascii="仿宋" w:hAnsi="仿宋" w:eastAsia="仿宋" w:cs="仿宋"/>
          <w:b/>
          <w:color w:val="auto"/>
          <w:lang w:val="en-US" w:eastAsia="zh-CN"/>
        </w:rPr>
      </w:pPr>
      <w:bookmarkStart w:id="180" w:name="_Toc26711"/>
      <w:bookmarkStart w:id="181" w:name="_Toc12231"/>
      <w:bookmarkStart w:id="182" w:name="_Toc2577"/>
      <w:bookmarkStart w:id="183" w:name="_Toc4712"/>
      <w:bookmarkStart w:id="184" w:name="_Toc29206"/>
      <w:bookmarkStart w:id="185" w:name="_Toc75793525"/>
      <w:r>
        <w:rPr>
          <w:rFonts w:hint="eastAsia" w:ascii="仿宋" w:hAnsi="仿宋" w:eastAsia="仿宋" w:cs="仿宋"/>
          <w:b/>
          <w:color w:val="auto"/>
          <w:lang w:val="en-US" w:eastAsia="zh-CN"/>
        </w:rPr>
        <w:t>二、招标文件</w:t>
      </w:r>
      <w:bookmarkEnd w:id="180"/>
      <w:bookmarkEnd w:id="181"/>
      <w:bookmarkEnd w:id="182"/>
      <w:bookmarkEnd w:id="183"/>
      <w:bookmarkEnd w:id="184"/>
      <w:bookmarkEnd w:id="185"/>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招标文件是投标人编制投标文件的依据，是评标委员会评判依据和标准。招标文件也是</w:t>
      </w:r>
      <w:r>
        <w:rPr>
          <w:rFonts w:hint="eastAsia" w:ascii="仿宋" w:hAnsi="仿宋" w:eastAsia="仿宋" w:cs="仿宋"/>
          <w:color w:val="auto"/>
          <w:sz w:val="24"/>
          <w:lang w:eastAsia="zh-CN"/>
        </w:rPr>
        <w:t>招标人</w:t>
      </w:r>
      <w:r>
        <w:rPr>
          <w:rFonts w:hint="eastAsia" w:ascii="仿宋" w:hAnsi="仿宋" w:eastAsia="仿宋" w:cs="仿宋"/>
          <w:color w:val="auto"/>
          <w:sz w:val="24"/>
        </w:rPr>
        <w:t>与中标人签订合同的基础。</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（一）招标文件由</w:t>
      </w:r>
      <w:r>
        <w:rPr>
          <w:rFonts w:hint="eastAsia" w:ascii="仿宋" w:hAnsi="仿宋" w:eastAsia="仿宋" w:cs="仿宋"/>
          <w:color w:val="auto"/>
          <w:sz w:val="24"/>
          <w:lang w:eastAsia="zh-CN"/>
        </w:rPr>
        <w:t>采购邀请书</w:t>
      </w:r>
      <w:r>
        <w:rPr>
          <w:rFonts w:hint="eastAsia" w:ascii="仿宋" w:hAnsi="仿宋" w:eastAsia="仿宋" w:cs="仿宋"/>
          <w:color w:val="auto"/>
          <w:sz w:val="24"/>
        </w:rPr>
        <w:t>；项目技术规格、数量及质量要求；商务条款；投标人须知；评标方法、评标标准、无效投标条款和废标条款；合同主要条款、合同范本；投标文件格式等七部分组成。</w:t>
      </w:r>
    </w:p>
    <w:p>
      <w:pPr>
        <w:snapToGrid w:val="0"/>
        <w:spacing w:line="400" w:lineRule="exact"/>
        <w:ind w:firstLine="480"/>
        <w:rPr>
          <w:rFonts w:hint="eastAsia" w:ascii="仿宋" w:hAnsi="仿宋" w:eastAsia="仿宋" w:cs="仿宋"/>
          <w:color w:val="auto"/>
          <w:sz w:val="24"/>
        </w:rPr>
      </w:pPr>
      <w:r>
        <w:rPr>
          <w:rFonts w:hint="eastAsia" w:ascii="仿宋" w:hAnsi="仿宋" w:eastAsia="仿宋" w:cs="仿宋"/>
          <w:color w:val="auto"/>
          <w:sz w:val="24"/>
          <w:szCs w:val="28"/>
        </w:rPr>
        <w:t>（二）</w:t>
      </w:r>
      <w:r>
        <w:rPr>
          <w:rFonts w:hint="eastAsia" w:ascii="仿宋" w:hAnsi="仿宋" w:eastAsia="仿宋" w:cs="仿宋"/>
          <w:color w:val="auto"/>
          <w:sz w:val="24"/>
        </w:rPr>
        <w:t>采购代理机构对招标文件所作的一切有效的书面通知、修改及补充，都是招标文件不可分割的部分。</w:t>
      </w:r>
    </w:p>
    <w:p>
      <w:pPr>
        <w:snapToGrid w:val="0"/>
        <w:spacing w:line="400" w:lineRule="exact"/>
        <w:ind w:firstLine="480"/>
        <w:rPr>
          <w:rFonts w:hint="eastAsia" w:ascii="仿宋" w:hAnsi="仿宋" w:eastAsia="仿宋" w:cs="仿宋"/>
          <w:color w:val="auto"/>
          <w:sz w:val="24"/>
        </w:rPr>
      </w:pPr>
      <w:r>
        <w:rPr>
          <w:rFonts w:hint="eastAsia" w:ascii="仿宋" w:hAnsi="仿宋" w:eastAsia="仿宋" w:cs="仿宋"/>
          <w:color w:val="auto"/>
          <w:sz w:val="24"/>
        </w:rPr>
        <w:t>（三）</w:t>
      </w:r>
      <w:r>
        <w:rPr>
          <w:rFonts w:hint="eastAsia" w:ascii="仿宋" w:hAnsi="仿宋" w:eastAsia="仿宋" w:cs="仿宋"/>
          <w:color w:val="auto"/>
          <w:sz w:val="24"/>
          <w:szCs w:val="24"/>
        </w:rPr>
        <w:t>本项目的招标文件、澄清文件（如果有）一律在</w:t>
      </w:r>
      <w:r>
        <w:rPr>
          <w:rFonts w:hint="eastAsia" w:ascii="仿宋" w:hAnsi="仿宋" w:eastAsia="仿宋" w:cs="仿宋"/>
          <w:color w:val="auto"/>
          <w:sz w:val="24"/>
          <w:szCs w:val="24"/>
          <w:lang w:eastAsia="zh-CN"/>
        </w:rPr>
        <w:t>南川区城市建设投资（集团）有限公司官网</w:t>
      </w:r>
      <w:r>
        <w:rPr>
          <w:rFonts w:hint="eastAsia" w:ascii="仿宋" w:hAnsi="仿宋" w:eastAsia="仿宋" w:cs="仿宋"/>
          <w:color w:val="auto"/>
          <w:sz w:val="24"/>
          <w:szCs w:val="24"/>
        </w:rPr>
        <w:t>上发布，请各投标人注意下载或到采购代理机构处领取；无论投标人下载或领取与否，均视同投标人已知晓本项目招标文件、澄清文件的内容。</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（四）采购代理机构对已发出的招标文件需要进行澄清或修改的，应以书面形式或公告形式通知所有招标文件收受人。该澄清或者修改的内容为招标文件的组成部分。</w:t>
      </w:r>
    </w:p>
    <w:p>
      <w:pPr>
        <w:pStyle w:val="4"/>
        <w:spacing w:line="240" w:lineRule="auto"/>
        <w:ind w:left="0" w:leftChars="0" w:firstLine="501" w:firstLineChars="208"/>
        <w:outlineLvl w:val="0"/>
        <w:rPr>
          <w:rFonts w:hint="eastAsia" w:ascii="仿宋" w:hAnsi="仿宋" w:eastAsia="仿宋" w:cs="仿宋"/>
          <w:color w:val="auto"/>
        </w:rPr>
      </w:pPr>
      <w:bookmarkStart w:id="186" w:name="_Toc12833"/>
      <w:bookmarkStart w:id="187" w:name="_Toc75793526"/>
      <w:bookmarkStart w:id="188" w:name="_Toc25781"/>
      <w:bookmarkStart w:id="189" w:name="_Toc710"/>
      <w:bookmarkStart w:id="190" w:name="_Toc13818"/>
      <w:bookmarkStart w:id="191" w:name="_Toc4472"/>
      <w:r>
        <w:rPr>
          <w:rFonts w:hint="eastAsia" w:ascii="仿宋" w:hAnsi="仿宋" w:eastAsia="仿宋" w:cs="仿宋"/>
          <w:color w:val="auto"/>
        </w:rPr>
        <w:t>三、投标文件</w:t>
      </w:r>
      <w:bookmarkEnd w:id="186"/>
      <w:bookmarkEnd w:id="187"/>
      <w:bookmarkEnd w:id="188"/>
      <w:bookmarkEnd w:id="189"/>
      <w:bookmarkEnd w:id="190"/>
      <w:bookmarkEnd w:id="191"/>
    </w:p>
    <w:p>
      <w:pPr>
        <w:spacing w:line="400" w:lineRule="exact"/>
        <w:ind w:firstLine="480" w:firstLineChars="200"/>
        <w:rPr>
          <w:rFonts w:hint="eastAsia" w:ascii="仿宋" w:hAnsi="仿宋" w:eastAsia="仿宋" w:cs="仿宋"/>
          <w:b w:val="0"/>
          <w:bCs w:val="0"/>
          <w:color w:val="auto"/>
          <w:sz w:val="24"/>
        </w:rPr>
      </w:pPr>
      <w:r>
        <w:rPr>
          <w:rFonts w:hint="eastAsia" w:ascii="仿宋" w:hAnsi="仿宋" w:eastAsia="仿宋" w:cs="仿宋"/>
          <w:color w:val="auto"/>
          <w:sz w:val="24"/>
        </w:rPr>
        <w:t>投标人应当按照招标文件的要求编制投标文件，并对招标文件提出的要求和条件作出实质性响应，</w:t>
      </w:r>
      <w:r>
        <w:rPr>
          <w:rFonts w:hint="eastAsia" w:ascii="仿宋" w:hAnsi="仿宋" w:eastAsia="仿宋" w:cs="仿宋"/>
          <w:b w:val="0"/>
          <w:bCs w:val="0"/>
          <w:color w:val="auto"/>
          <w:sz w:val="24"/>
          <w:highlight w:val="none"/>
        </w:rPr>
        <w:t>投标文件原则上采用软面订本</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lang w:val="en-US" w:eastAsia="zh-CN"/>
        </w:rPr>
        <w:t>可</w:t>
      </w:r>
      <w:r>
        <w:rPr>
          <w:rFonts w:hint="eastAsia" w:ascii="仿宋" w:hAnsi="仿宋" w:eastAsia="仿宋" w:cs="仿宋"/>
          <w:b w:val="0"/>
          <w:bCs w:val="0"/>
          <w:color w:val="auto"/>
          <w:sz w:val="24"/>
          <w:highlight w:val="none"/>
          <w:lang w:eastAsia="zh-CN"/>
        </w:rPr>
        <w:t>双面打印</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eastAsia="zh-CN"/>
        </w:rPr>
        <w:t>若分册装订需写明“共几册第几册”字样，</w:t>
      </w:r>
      <w:r>
        <w:rPr>
          <w:rFonts w:hint="eastAsia" w:ascii="仿宋" w:hAnsi="仿宋" w:eastAsia="仿宋" w:cs="仿宋"/>
          <w:b w:val="0"/>
          <w:bCs w:val="0"/>
          <w:color w:val="auto"/>
          <w:sz w:val="24"/>
          <w:highlight w:val="none"/>
        </w:rPr>
        <w:t>同时应编制完整的页码、目录。</w:t>
      </w:r>
    </w:p>
    <w:p>
      <w:pPr>
        <w:spacing w:line="400" w:lineRule="exact"/>
        <w:ind w:firstLine="480" w:firstLineChars="200"/>
        <w:outlineLvl w:val="1"/>
        <w:rPr>
          <w:rFonts w:hint="eastAsia" w:ascii="仿宋" w:hAnsi="仿宋" w:eastAsia="仿宋" w:cs="仿宋"/>
          <w:color w:val="auto"/>
          <w:sz w:val="24"/>
        </w:rPr>
      </w:pPr>
      <w:bookmarkStart w:id="192" w:name="_Toc14047"/>
      <w:r>
        <w:rPr>
          <w:rFonts w:hint="eastAsia" w:ascii="仿宋" w:hAnsi="仿宋" w:eastAsia="仿宋" w:cs="仿宋"/>
          <w:color w:val="auto"/>
          <w:sz w:val="24"/>
        </w:rPr>
        <w:t>（一）投标文件组成</w:t>
      </w:r>
      <w:bookmarkEnd w:id="192"/>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00" w:lineRule="exact"/>
        <w:ind w:firstLine="480" w:firstLineChars="200"/>
        <w:outlineLvl w:val="1"/>
        <w:rPr>
          <w:rFonts w:hint="eastAsia" w:ascii="仿宋" w:hAnsi="仿宋" w:eastAsia="仿宋" w:cs="仿宋"/>
          <w:color w:val="auto"/>
          <w:sz w:val="24"/>
        </w:rPr>
      </w:pPr>
      <w:bookmarkStart w:id="193" w:name="_Toc9392"/>
      <w:r>
        <w:rPr>
          <w:rFonts w:hint="eastAsia" w:ascii="仿宋" w:hAnsi="仿宋" w:eastAsia="仿宋" w:cs="仿宋"/>
          <w:color w:val="auto"/>
          <w:sz w:val="24"/>
        </w:rPr>
        <w:t>（</w:t>
      </w:r>
      <w:r>
        <w:rPr>
          <w:rFonts w:hint="eastAsia" w:ascii="仿宋" w:hAnsi="仿宋" w:eastAsia="仿宋" w:cs="仿宋"/>
          <w:color w:val="auto"/>
          <w:sz w:val="24"/>
          <w:lang w:val="en-US" w:eastAsia="zh-CN"/>
        </w:rPr>
        <w:t>二</w:t>
      </w:r>
      <w:r>
        <w:rPr>
          <w:rFonts w:hint="eastAsia" w:ascii="仿宋" w:hAnsi="仿宋" w:eastAsia="仿宋" w:cs="仿宋"/>
          <w:color w:val="auto"/>
          <w:sz w:val="24"/>
        </w:rPr>
        <w:t>）投标有效期</w:t>
      </w:r>
      <w:bookmarkEnd w:id="193"/>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投标有效期为投标截止时间起90天。</w:t>
      </w:r>
    </w:p>
    <w:p>
      <w:pPr>
        <w:tabs>
          <w:tab w:val="left" w:pos="0"/>
        </w:tabs>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三</w:t>
      </w:r>
      <w:r>
        <w:rPr>
          <w:rFonts w:hint="eastAsia" w:ascii="仿宋" w:hAnsi="仿宋" w:eastAsia="仿宋" w:cs="仿宋"/>
          <w:color w:val="auto"/>
          <w:sz w:val="24"/>
        </w:rPr>
        <w:t>）投标人有下列情形之一的，</w:t>
      </w:r>
      <w:r>
        <w:rPr>
          <w:rFonts w:hint="eastAsia" w:ascii="仿宋" w:hAnsi="仿宋" w:eastAsia="仿宋" w:cs="仿宋"/>
          <w:color w:val="auto"/>
          <w:sz w:val="24"/>
          <w:szCs w:val="24"/>
        </w:rPr>
        <w:t>由财政部门视情节轻重对</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进行相应处罚</w:t>
      </w:r>
      <w:r>
        <w:rPr>
          <w:rFonts w:hint="eastAsia" w:ascii="仿宋" w:hAnsi="仿宋" w:eastAsia="仿宋" w:cs="仿宋"/>
          <w:color w:val="auto"/>
          <w:sz w:val="24"/>
        </w:rPr>
        <w:t>：</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eastAsia="zh-CN"/>
        </w:rPr>
        <w:t>.</w:t>
      </w:r>
      <w:r>
        <w:rPr>
          <w:rFonts w:hint="eastAsia" w:ascii="仿宋" w:hAnsi="仿宋" w:eastAsia="仿宋" w:cs="仿宋"/>
          <w:color w:val="auto"/>
          <w:sz w:val="24"/>
        </w:rPr>
        <w:t>投标人在投标有效期撤回投标文件的；</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eastAsia="zh-CN"/>
        </w:rPr>
        <w:t>.</w:t>
      </w:r>
      <w:r>
        <w:rPr>
          <w:rFonts w:hint="eastAsia" w:ascii="仿宋" w:hAnsi="仿宋" w:eastAsia="仿宋" w:cs="仿宋"/>
          <w:color w:val="auto"/>
          <w:sz w:val="24"/>
        </w:rPr>
        <w:t>投标人未按规定提交履约保证金的；</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w:t>
      </w:r>
      <w:r>
        <w:rPr>
          <w:rFonts w:hint="eastAsia" w:ascii="仿宋" w:hAnsi="仿宋" w:eastAsia="仿宋" w:cs="仿宋"/>
          <w:color w:val="auto"/>
          <w:sz w:val="24"/>
        </w:rPr>
        <w:t>投标人在投标过程中弄虚作假，提供虚假材料的；</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eastAsia="zh-CN"/>
        </w:rPr>
        <w:t>.</w:t>
      </w:r>
      <w:r>
        <w:rPr>
          <w:rFonts w:hint="eastAsia" w:ascii="仿宋" w:hAnsi="仿宋" w:eastAsia="仿宋" w:cs="仿宋"/>
          <w:color w:val="auto"/>
          <w:sz w:val="24"/>
        </w:rPr>
        <w:t>中标人无正当理由不与</w:t>
      </w:r>
      <w:r>
        <w:rPr>
          <w:rFonts w:hint="eastAsia" w:ascii="仿宋" w:hAnsi="仿宋" w:eastAsia="仿宋" w:cs="仿宋"/>
          <w:color w:val="auto"/>
          <w:sz w:val="24"/>
          <w:lang w:eastAsia="zh-CN"/>
        </w:rPr>
        <w:t>招标人</w:t>
      </w:r>
      <w:r>
        <w:rPr>
          <w:rFonts w:hint="eastAsia" w:ascii="仿宋" w:hAnsi="仿宋" w:eastAsia="仿宋" w:cs="仿宋"/>
          <w:color w:val="auto"/>
          <w:sz w:val="24"/>
        </w:rPr>
        <w:t>签订合同的；</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eastAsia="zh-CN"/>
        </w:rPr>
        <w:t>.</w:t>
      </w:r>
      <w:r>
        <w:rPr>
          <w:rFonts w:hint="eastAsia" w:ascii="仿宋" w:hAnsi="仿宋" w:eastAsia="仿宋" w:cs="仿宋"/>
          <w:color w:val="auto"/>
          <w:sz w:val="24"/>
        </w:rPr>
        <w:t>中标人将中标项目转让给他人或者在投标文件中未说明且未经</w:t>
      </w:r>
      <w:r>
        <w:rPr>
          <w:rFonts w:hint="eastAsia" w:ascii="仿宋" w:hAnsi="仿宋" w:eastAsia="仿宋" w:cs="仿宋"/>
          <w:color w:val="auto"/>
          <w:sz w:val="24"/>
          <w:lang w:eastAsia="zh-CN"/>
        </w:rPr>
        <w:t>招标人</w:t>
      </w:r>
      <w:r>
        <w:rPr>
          <w:rFonts w:hint="eastAsia" w:ascii="仿宋" w:hAnsi="仿宋" w:eastAsia="仿宋" w:cs="仿宋"/>
          <w:color w:val="auto"/>
          <w:sz w:val="24"/>
        </w:rPr>
        <w:t>同意，将中标项目分包给他人的；</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z w:val="24"/>
          <w:lang w:eastAsia="zh-CN"/>
        </w:rPr>
        <w:t>.</w:t>
      </w:r>
      <w:r>
        <w:rPr>
          <w:rFonts w:hint="eastAsia" w:ascii="仿宋" w:hAnsi="仿宋" w:eastAsia="仿宋" w:cs="仿宋"/>
          <w:color w:val="auto"/>
          <w:sz w:val="24"/>
        </w:rPr>
        <w:t>中标人拒绝履行合同义务的；</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eastAsia="zh-CN"/>
        </w:rPr>
        <w:t>.</w:t>
      </w:r>
      <w:r>
        <w:rPr>
          <w:rFonts w:hint="eastAsia" w:ascii="仿宋" w:hAnsi="仿宋" w:eastAsia="仿宋" w:cs="仿宋"/>
          <w:color w:val="auto"/>
          <w:sz w:val="24"/>
        </w:rPr>
        <w:t>其他严重扰乱招投标程序的。</w:t>
      </w:r>
    </w:p>
    <w:p>
      <w:pPr>
        <w:snapToGrid w:val="0"/>
        <w:spacing w:line="400" w:lineRule="exact"/>
        <w:ind w:firstLine="470" w:firstLineChars="196"/>
        <w:jc w:val="left"/>
        <w:outlineLvl w:val="1"/>
        <w:rPr>
          <w:rFonts w:hint="eastAsia" w:ascii="仿宋" w:hAnsi="仿宋" w:eastAsia="仿宋" w:cs="仿宋"/>
          <w:bCs/>
          <w:color w:val="auto"/>
          <w:sz w:val="24"/>
        </w:rPr>
      </w:pPr>
      <w:bookmarkStart w:id="194" w:name="_Toc23283"/>
      <w:r>
        <w:rPr>
          <w:rFonts w:hint="eastAsia" w:ascii="仿宋" w:hAnsi="仿宋" w:eastAsia="仿宋" w:cs="仿宋"/>
          <w:bCs/>
          <w:color w:val="auto"/>
          <w:sz w:val="24"/>
        </w:rPr>
        <w:t>（五）投标文件的份数和签署</w:t>
      </w:r>
      <w:bookmarkEnd w:id="194"/>
    </w:p>
    <w:p>
      <w:pPr>
        <w:tabs>
          <w:tab w:val="left" w:pos="0"/>
        </w:tabs>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1.投标文件一式</w:t>
      </w:r>
      <w:r>
        <w:rPr>
          <w:rFonts w:hint="eastAsia" w:ascii="仿宋" w:hAnsi="仿宋" w:eastAsia="仿宋" w:cs="仿宋"/>
          <w:color w:val="auto"/>
          <w:sz w:val="24"/>
          <w:lang w:eastAsia="zh-CN"/>
        </w:rPr>
        <w:t>叁</w:t>
      </w:r>
      <w:r>
        <w:rPr>
          <w:rFonts w:hint="eastAsia" w:ascii="仿宋" w:hAnsi="仿宋" w:eastAsia="仿宋" w:cs="仿宋"/>
          <w:color w:val="auto"/>
          <w:sz w:val="24"/>
        </w:rPr>
        <w:t>份，其中正本一份，副本</w:t>
      </w:r>
      <w:r>
        <w:rPr>
          <w:rFonts w:hint="eastAsia" w:ascii="仿宋" w:hAnsi="仿宋" w:eastAsia="仿宋" w:cs="仿宋"/>
          <w:color w:val="auto"/>
          <w:sz w:val="24"/>
          <w:lang w:val="en-US" w:eastAsia="zh-CN"/>
        </w:rPr>
        <w:t>贰</w:t>
      </w:r>
      <w:r>
        <w:rPr>
          <w:rFonts w:hint="eastAsia" w:ascii="仿宋" w:hAnsi="仿宋" w:eastAsia="仿宋" w:cs="仿宋"/>
          <w:color w:val="auto"/>
          <w:sz w:val="24"/>
        </w:rPr>
        <w:t>份。每套纸质投标文件须在封面清楚地标明“正本”、“副本”，副本</w:t>
      </w:r>
      <w:r>
        <w:rPr>
          <w:rFonts w:hint="eastAsia" w:ascii="仿宋" w:hAnsi="仿宋" w:eastAsia="仿宋" w:cs="仿宋"/>
          <w:color w:val="auto"/>
          <w:sz w:val="24"/>
          <w:lang w:eastAsia="zh-CN"/>
        </w:rPr>
        <w:t>可</w:t>
      </w:r>
      <w:r>
        <w:rPr>
          <w:rFonts w:hint="eastAsia" w:ascii="仿宋" w:hAnsi="仿宋" w:eastAsia="仿宋" w:cs="仿宋"/>
          <w:color w:val="auto"/>
          <w:sz w:val="24"/>
        </w:rPr>
        <w:t>为正本的完整复印件，副本与正本不一致时以正本为准。</w:t>
      </w:r>
    </w:p>
    <w:p>
      <w:pPr>
        <w:tabs>
          <w:tab w:val="left" w:pos="0"/>
        </w:tabs>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2.在投标文件正本中，招标文件第七篇投标文件格式中规定签署、盖章的地方必须按其规定签署、盖章。</w:t>
      </w:r>
    </w:p>
    <w:p>
      <w:pPr>
        <w:tabs>
          <w:tab w:val="left" w:pos="0"/>
        </w:tabs>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3.若投标人对投标文件的错处作必要修改，则应在修改处加盖投标人公章或由</w:t>
      </w:r>
      <w:r>
        <w:rPr>
          <w:rFonts w:hint="eastAsia" w:ascii="仿宋" w:hAnsi="仿宋" w:eastAsia="仿宋" w:cs="仿宋"/>
          <w:color w:val="auto"/>
          <w:sz w:val="24"/>
          <w:szCs w:val="28"/>
        </w:rPr>
        <w:t>法定代表人（或其授权代表）</w:t>
      </w:r>
      <w:r>
        <w:rPr>
          <w:rFonts w:hint="eastAsia" w:ascii="仿宋" w:hAnsi="仿宋" w:eastAsia="仿宋" w:cs="仿宋"/>
          <w:color w:val="auto"/>
          <w:sz w:val="24"/>
        </w:rPr>
        <w:t>签署确认。</w:t>
      </w:r>
    </w:p>
    <w:p>
      <w:pPr>
        <w:snapToGrid w:val="0"/>
        <w:spacing w:line="400" w:lineRule="exact"/>
        <w:ind w:firstLine="470" w:firstLineChars="196"/>
        <w:jc w:val="left"/>
        <w:rPr>
          <w:rFonts w:hint="eastAsia" w:ascii="仿宋" w:hAnsi="仿宋" w:eastAsia="仿宋" w:cs="仿宋"/>
          <w:bCs/>
          <w:color w:val="auto"/>
          <w:sz w:val="24"/>
        </w:rPr>
      </w:pPr>
      <w:r>
        <w:rPr>
          <w:rFonts w:hint="eastAsia" w:ascii="仿宋" w:hAnsi="仿宋" w:eastAsia="仿宋" w:cs="仿宋"/>
          <w:color w:val="auto"/>
          <w:sz w:val="24"/>
        </w:rPr>
        <w:t>4.电报、电话、传真形式的投标文件概不接受。</w:t>
      </w:r>
    </w:p>
    <w:p>
      <w:pPr>
        <w:snapToGrid w:val="0"/>
        <w:spacing w:line="400" w:lineRule="exact"/>
        <w:ind w:firstLine="470" w:firstLineChars="196"/>
        <w:jc w:val="left"/>
        <w:outlineLvl w:val="1"/>
        <w:rPr>
          <w:rFonts w:hint="eastAsia" w:ascii="仿宋" w:hAnsi="仿宋" w:eastAsia="仿宋" w:cs="仿宋"/>
          <w:bCs/>
          <w:color w:val="auto"/>
          <w:sz w:val="24"/>
        </w:rPr>
      </w:pPr>
      <w:bookmarkStart w:id="195" w:name="_Toc3003"/>
      <w:r>
        <w:rPr>
          <w:rFonts w:hint="eastAsia" w:ascii="仿宋" w:hAnsi="仿宋" w:eastAsia="仿宋" w:cs="仿宋"/>
          <w:bCs/>
          <w:color w:val="auto"/>
          <w:sz w:val="24"/>
        </w:rPr>
        <w:t>（六）投标报价</w:t>
      </w:r>
      <w:bookmarkEnd w:id="195"/>
    </w:p>
    <w:p>
      <w:pPr>
        <w:snapToGrid w:val="0"/>
        <w:spacing w:line="400" w:lineRule="exact"/>
        <w:ind w:firstLine="470" w:firstLineChars="196"/>
        <w:jc w:val="left"/>
        <w:rPr>
          <w:rFonts w:hint="eastAsia" w:ascii="仿宋" w:hAnsi="仿宋" w:eastAsia="仿宋" w:cs="仿宋"/>
          <w:color w:val="auto"/>
          <w:sz w:val="24"/>
        </w:rPr>
      </w:pPr>
      <w:r>
        <w:rPr>
          <w:rFonts w:hint="eastAsia" w:ascii="仿宋" w:hAnsi="仿宋" w:eastAsia="仿宋" w:cs="仿宋"/>
          <w:bCs/>
          <w:color w:val="auto"/>
          <w:sz w:val="24"/>
        </w:rPr>
        <w:t>1.投标人应严格按照“投标文件格式”中“开标一览表”和“</w:t>
      </w:r>
      <w:r>
        <w:rPr>
          <w:rFonts w:hint="eastAsia" w:ascii="仿宋" w:hAnsi="仿宋" w:eastAsia="仿宋" w:cs="仿宋"/>
          <w:bCs/>
          <w:color w:val="auto"/>
          <w:sz w:val="24"/>
          <w:lang w:eastAsia="zh-CN"/>
        </w:rPr>
        <w:t>已标价的工程量清单报价表</w:t>
      </w:r>
      <w:r>
        <w:rPr>
          <w:rFonts w:hint="eastAsia" w:ascii="仿宋" w:hAnsi="仿宋" w:eastAsia="仿宋" w:cs="仿宋"/>
          <w:bCs/>
          <w:color w:val="auto"/>
          <w:sz w:val="24"/>
        </w:rPr>
        <w:t>”</w:t>
      </w:r>
      <w:r>
        <w:rPr>
          <w:rFonts w:hint="eastAsia" w:ascii="仿宋" w:hAnsi="仿宋" w:eastAsia="仿宋" w:cs="仿宋"/>
          <w:color w:val="auto"/>
          <w:sz w:val="24"/>
        </w:rPr>
        <w:t>的格式填写报价。</w:t>
      </w:r>
    </w:p>
    <w:p>
      <w:pPr>
        <w:snapToGrid w:val="0"/>
        <w:spacing w:line="400" w:lineRule="exact"/>
        <w:ind w:left="3" w:leftChars="1" w:firstLine="480" w:firstLineChars="200"/>
        <w:rPr>
          <w:rFonts w:hint="eastAsia" w:ascii="仿宋" w:hAnsi="仿宋" w:eastAsia="仿宋" w:cs="仿宋"/>
          <w:color w:val="auto"/>
          <w:sz w:val="24"/>
        </w:rPr>
      </w:pPr>
      <w:r>
        <w:rPr>
          <w:rFonts w:hint="eastAsia" w:ascii="仿宋" w:hAnsi="仿宋" w:eastAsia="仿宋" w:cs="仿宋"/>
          <w:color w:val="auto"/>
          <w:sz w:val="24"/>
        </w:rPr>
        <w:t>2.投标人的报价为一次性报价，即在投标有效期内投标价格固定不变。</w:t>
      </w:r>
    </w:p>
    <w:p>
      <w:pPr>
        <w:snapToGrid w:val="0"/>
        <w:spacing w:line="400" w:lineRule="exact"/>
        <w:ind w:left="3" w:leftChars="1" w:firstLine="480" w:firstLineChars="200"/>
        <w:rPr>
          <w:rFonts w:hint="eastAsia" w:ascii="仿宋" w:hAnsi="仿宋" w:eastAsia="仿宋" w:cs="仿宋"/>
          <w:color w:val="auto"/>
          <w:sz w:val="24"/>
        </w:rPr>
      </w:pPr>
      <w:r>
        <w:rPr>
          <w:rFonts w:hint="eastAsia" w:ascii="仿宋" w:hAnsi="仿宋" w:eastAsia="仿宋" w:cs="仿宋"/>
          <w:color w:val="auto"/>
          <w:sz w:val="24"/>
        </w:rPr>
        <w:t>3.本项目只接受一个投标报价，有选择的或有条件的报价将不予接受。</w:t>
      </w:r>
    </w:p>
    <w:p>
      <w:pPr>
        <w:pStyle w:val="31"/>
        <w:spacing w:line="400" w:lineRule="exact"/>
        <w:ind w:firstLine="480" w:firstLineChars="200"/>
        <w:outlineLvl w:val="1"/>
        <w:rPr>
          <w:rFonts w:hint="eastAsia" w:ascii="仿宋" w:hAnsi="仿宋" w:eastAsia="仿宋" w:cs="仿宋"/>
          <w:color w:val="auto"/>
          <w:sz w:val="24"/>
        </w:rPr>
      </w:pPr>
      <w:bookmarkStart w:id="196" w:name="_Toc18077"/>
      <w:r>
        <w:rPr>
          <w:rFonts w:hint="eastAsia" w:ascii="仿宋" w:hAnsi="仿宋" w:eastAsia="仿宋" w:cs="仿宋"/>
          <w:color w:val="auto"/>
          <w:sz w:val="24"/>
        </w:rPr>
        <w:t>（七）修正错误</w:t>
      </w:r>
      <w:bookmarkEnd w:id="196"/>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若投标文件出现计算或表达上的错误，修正错误的原则如下：</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1.投标文件中开标一览表（报价表）内容与投标文件中相应内容不一致的，以开标一览表（报价表）为准；</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2.大写金额和小写金额不一致的，以大写金额为准；</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3.单价金额小数点或者百分比有明显错位的，以开标一览表的总价为准，并修改单价；</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4.总价金额与按单价汇总金额不一致的，以单价金额计算结果为准。</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1"/>
        <w:spacing w:line="400" w:lineRule="exact"/>
        <w:ind w:firstLine="480" w:firstLineChars="200"/>
        <w:outlineLvl w:val="1"/>
        <w:rPr>
          <w:rFonts w:hint="eastAsia" w:ascii="仿宋" w:hAnsi="仿宋" w:eastAsia="仿宋" w:cs="仿宋"/>
          <w:color w:val="auto"/>
          <w:sz w:val="24"/>
        </w:rPr>
      </w:pPr>
      <w:bookmarkStart w:id="197" w:name="_Toc5746"/>
      <w:r>
        <w:rPr>
          <w:rFonts w:hint="eastAsia" w:ascii="仿宋" w:hAnsi="仿宋" w:eastAsia="仿宋" w:cs="仿宋"/>
          <w:color w:val="auto"/>
          <w:sz w:val="24"/>
        </w:rPr>
        <w:t>（八）投标文件的递交</w:t>
      </w:r>
      <w:bookmarkEnd w:id="197"/>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投标文件的正本、副本均应密封送达投标地点，应在封套上注明项目名称</w:t>
      </w:r>
      <w:r>
        <w:rPr>
          <w:rFonts w:hint="eastAsia" w:ascii="仿宋" w:hAnsi="仿宋" w:eastAsia="仿宋" w:cs="仿宋"/>
          <w:color w:val="auto"/>
          <w:sz w:val="24"/>
          <w:lang w:val="en-US" w:eastAsia="zh-CN"/>
        </w:rPr>
        <w:t>及分包号</w:t>
      </w:r>
      <w:r>
        <w:rPr>
          <w:rFonts w:hint="eastAsia" w:ascii="仿宋" w:hAnsi="仿宋" w:eastAsia="仿宋" w:cs="仿宋"/>
          <w:color w:val="auto"/>
          <w:sz w:val="24"/>
        </w:rPr>
        <w:t>、投标人名称。若正本、副本分别进行密封的，还应在封套上注明“正本”、“副本””字样。</w:t>
      </w:r>
    </w:p>
    <w:p>
      <w:pPr>
        <w:pStyle w:val="4"/>
        <w:spacing w:line="240" w:lineRule="auto"/>
        <w:ind w:left="0" w:leftChars="0" w:firstLine="501" w:firstLineChars="208"/>
        <w:outlineLvl w:val="0"/>
        <w:rPr>
          <w:rFonts w:hint="eastAsia" w:ascii="仿宋" w:hAnsi="仿宋" w:eastAsia="仿宋" w:cs="仿宋"/>
          <w:color w:val="auto"/>
        </w:rPr>
      </w:pPr>
      <w:bookmarkStart w:id="198" w:name="_Toc11748"/>
      <w:bookmarkStart w:id="199" w:name="_Toc16048"/>
      <w:bookmarkStart w:id="200" w:name="_Toc18527"/>
      <w:bookmarkStart w:id="201" w:name="_Toc31246"/>
      <w:bookmarkStart w:id="202" w:name="_Toc12168"/>
      <w:bookmarkStart w:id="203" w:name="_Toc75793527"/>
      <w:r>
        <w:rPr>
          <w:rFonts w:hint="eastAsia" w:ascii="仿宋" w:hAnsi="仿宋" w:eastAsia="仿宋" w:cs="仿宋"/>
          <w:color w:val="auto"/>
        </w:rPr>
        <w:t>四、开标</w:t>
      </w:r>
      <w:bookmarkEnd w:id="198"/>
      <w:bookmarkEnd w:id="199"/>
      <w:bookmarkEnd w:id="200"/>
      <w:bookmarkEnd w:id="201"/>
      <w:bookmarkEnd w:id="202"/>
      <w:bookmarkEnd w:id="203"/>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（一）开标应当在招标文件中“</w:t>
      </w:r>
      <w:r>
        <w:rPr>
          <w:rFonts w:hint="eastAsia" w:ascii="仿宋" w:hAnsi="仿宋" w:eastAsia="仿宋" w:cs="仿宋"/>
          <w:color w:val="auto"/>
          <w:sz w:val="24"/>
          <w:lang w:eastAsia="zh-CN"/>
        </w:rPr>
        <w:t>采购邀请书</w:t>
      </w:r>
      <w:r>
        <w:rPr>
          <w:rFonts w:hint="eastAsia" w:ascii="仿宋" w:hAnsi="仿宋" w:eastAsia="仿宋" w:cs="仿宋"/>
          <w:color w:val="auto"/>
          <w:sz w:val="24"/>
        </w:rPr>
        <w:t>”确定的时间和地点公开进行。</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（二）采购代理机构可视采购具体情况，延长投标截止时间和开标时间，并将变更时间书面通知所有招标文件收受人。</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（三）开标由</w:t>
      </w:r>
      <w:r>
        <w:rPr>
          <w:rFonts w:hint="eastAsia" w:ascii="仿宋" w:hAnsi="仿宋" w:eastAsia="仿宋" w:cs="仿宋"/>
          <w:color w:val="auto"/>
          <w:sz w:val="24"/>
          <w:lang w:eastAsia="zh-CN"/>
        </w:rPr>
        <w:t>招标人</w:t>
      </w:r>
      <w:r>
        <w:rPr>
          <w:rFonts w:hint="eastAsia" w:ascii="仿宋" w:hAnsi="仿宋" w:eastAsia="仿宋" w:cs="仿宋"/>
          <w:color w:val="auto"/>
          <w:sz w:val="24"/>
        </w:rPr>
        <w:t>或采购代理机构主持，邀请投标人和有关监督部门代表参加,有关监督部门可视情况派员现场监督。</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（四）开标时，由投标人或者其推选的代表检查投标文件的密封情况；经确认无误后，由</w:t>
      </w:r>
      <w:r>
        <w:rPr>
          <w:rFonts w:hint="eastAsia" w:ascii="仿宋" w:hAnsi="仿宋" w:eastAsia="仿宋" w:cs="仿宋"/>
          <w:color w:val="auto"/>
          <w:sz w:val="24"/>
          <w:lang w:eastAsia="zh-CN"/>
        </w:rPr>
        <w:t>招标人</w:t>
      </w:r>
      <w:r>
        <w:rPr>
          <w:rFonts w:hint="eastAsia" w:ascii="仿宋" w:hAnsi="仿宋" w:eastAsia="仿宋" w:cs="仿宋"/>
          <w:color w:val="auto"/>
          <w:sz w:val="24"/>
        </w:rPr>
        <w:t>或者采购代理机构工作人员当众拆封，宣布投标人名称、投标价格和《开标一览表》规定的需要宣布的其他内容。投标人不足三家的，不得开标。</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（五）未宣读的投标价格、价格折扣和招标文件允许提供的备选投标方案等实质性内容等，评标时不予承认。</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（六）开标过程应由</w:t>
      </w:r>
      <w:r>
        <w:rPr>
          <w:rFonts w:hint="eastAsia" w:ascii="仿宋" w:hAnsi="仿宋" w:eastAsia="仿宋" w:cs="仿宋"/>
          <w:color w:val="auto"/>
          <w:sz w:val="24"/>
          <w:lang w:eastAsia="zh-CN"/>
        </w:rPr>
        <w:t>招标人</w:t>
      </w:r>
      <w:r>
        <w:rPr>
          <w:rFonts w:hint="eastAsia" w:ascii="仿宋" w:hAnsi="仿宋" w:eastAsia="仿宋" w:cs="仿宋"/>
          <w:color w:val="auto"/>
          <w:sz w:val="24"/>
        </w:rPr>
        <w:t>或采购代理机构负责记录，并存档备查。</w:t>
      </w:r>
    </w:p>
    <w:p>
      <w:pPr>
        <w:pStyle w:val="4"/>
        <w:spacing w:line="240" w:lineRule="auto"/>
        <w:ind w:left="0" w:leftChars="0" w:firstLine="501" w:firstLineChars="208"/>
        <w:outlineLvl w:val="0"/>
        <w:rPr>
          <w:rFonts w:hint="eastAsia" w:ascii="仿宋" w:hAnsi="仿宋" w:eastAsia="仿宋" w:cs="仿宋"/>
          <w:color w:val="auto"/>
        </w:rPr>
      </w:pPr>
      <w:bookmarkStart w:id="204" w:name="_Toc11907"/>
      <w:bookmarkStart w:id="205" w:name="_Toc1909"/>
      <w:bookmarkStart w:id="206" w:name="_Toc3985"/>
      <w:bookmarkStart w:id="207" w:name="_Toc21298"/>
      <w:bookmarkStart w:id="208" w:name="_Toc75793528"/>
      <w:bookmarkStart w:id="209" w:name="_Toc828"/>
      <w:r>
        <w:rPr>
          <w:rFonts w:hint="eastAsia" w:ascii="仿宋" w:hAnsi="仿宋" w:eastAsia="仿宋" w:cs="仿宋"/>
          <w:color w:val="auto"/>
        </w:rPr>
        <w:t>五、评标</w:t>
      </w:r>
      <w:bookmarkEnd w:id="204"/>
      <w:bookmarkEnd w:id="205"/>
      <w:bookmarkEnd w:id="206"/>
      <w:bookmarkEnd w:id="207"/>
      <w:bookmarkEnd w:id="208"/>
      <w:bookmarkEnd w:id="209"/>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见第四篇“评标”内容。</w:t>
      </w:r>
    </w:p>
    <w:p>
      <w:pPr>
        <w:pStyle w:val="4"/>
        <w:spacing w:line="240" w:lineRule="auto"/>
        <w:ind w:left="0" w:leftChars="0" w:firstLine="501" w:firstLineChars="208"/>
        <w:outlineLvl w:val="0"/>
        <w:rPr>
          <w:rFonts w:hint="eastAsia" w:ascii="仿宋" w:hAnsi="仿宋" w:eastAsia="仿宋" w:cs="仿宋"/>
          <w:b/>
          <w:color w:val="auto"/>
          <w:lang w:val="en-US" w:eastAsia="zh-CN"/>
        </w:rPr>
      </w:pPr>
      <w:bookmarkStart w:id="210" w:name="_Toc75793529"/>
      <w:bookmarkStart w:id="211" w:name="_Toc642"/>
      <w:bookmarkStart w:id="212" w:name="_Toc4540"/>
      <w:bookmarkStart w:id="213" w:name="_Toc30079"/>
      <w:bookmarkStart w:id="214" w:name="_Toc30642"/>
      <w:bookmarkStart w:id="215" w:name="_Toc19856"/>
      <w:r>
        <w:rPr>
          <w:rFonts w:hint="eastAsia" w:ascii="仿宋" w:hAnsi="仿宋" w:eastAsia="仿宋" w:cs="仿宋"/>
          <w:b/>
          <w:color w:val="auto"/>
          <w:lang w:val="en-US" w:eastAsia="zh-CN"/>
        </w:rPr>
        <w:t>六、定标</w:t>
      </w:r>
      <w:bookmarkEnd w:id="210"/>
      <w:bookmarkEnd w:id="211"/>
      <w:bookmarkEnd w:id="212"/>
      <w:bookmarkEnd w:id="213"/>
      <w:bookmarkEnd w:id="214"/>
      <w:bookmarkEnd w:id="215"/>
    </w:p>
    <w:p>
      <w:pPr>
        <w:snapToGrid w:val="0"/>
        <w:spacing w:line="400" w:lineRule="exact"/>
        <w:ind w:firstLine="480" w:firstLineChars="200"/>
        <w:outlineLvl w:val="1"/>
        <w:rPr>
          <w:rFonts w:hint="eastAsia" w:ascii="仿宋" w:hAnsi="仿宋" w:eastAsia="仿宋" w:cs="仿宋"/>
          <w:color w:val="auto"/>
          <w:sz w:val="24"/>
        </w:rPr>
      </w:pPr>
      <w:bookmarkStart w:id="216" w:name="_Toc1601"/>
      <w:r>
        <w:rPr>
          <w:rFonts w:hint="eastAsia" w:ascii="仿宋" w:hAnsi="仿宋" w:eastAsia="仿宋" w:cs="仿宋"/>
          <w:color w:val="auto"/>
          <w:sz w:val="24"/>
        </w:rPr>
        <w:t>（一）定标原则</w:t>
      </w:r>
      <w:bookmarkEnd w:id="216"/>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招标人</w:t>
      </w:r>
      <w:r>
        <w:rPr>
          <w:rFonts w:hint="eastAsia" w:ascii="仿宋" w:hAnsi="仿宋" w:eastAsia="仿宋" w:cs="仿宋"/>
          <w:color w:val="auto"/>
          <w:sz w:val="24"/>
        </w:rPr>
        <w:t>或其授权的评标委员会应按照评标报告中推荐的中标候选人排名顺序确定中标人。</w:t>
      </w:r>
    </w:p>
    <w:p>
      <w:pPr>
        <w:pStyle w:val="31"/>
        <w:spacing w:line="400" w:lineRule="exact"/>
        <w:ind w:firstLine="480" w:firstLineChars="200"/>
        <w:outlineLvl w:val="1"/>
        <w:rPr>
          <w:rFonts w:hint="eastAsia" w:ascii="仿宋" w:hAnsi="仿宋" w:eastAsia="仿宋" w:cs="仿宋"/>
          <w:color w:val="auto"/>
          <w:sz w:val="24"/>
        </w:rPr>
      </w:pPr>
      <w:bookmarkStart w:id="217" w:name="_Toc17430"/>
      <w:r>
        <w:rPr>
          <w:rFonts w:hint="eastAsia" w:ascii="仿宋" w:hAnsi="仿宋" w:eastAsia="仿宋" w:cs="仿宋"/>
          <w:color w:val="auto"/>
          <w:sz w:val="24"/>
        </w:rPr>
        <w:t>（二）定标程序</w:t>
      </w:r>
      <w:bookmarkEnd w:id="217"/>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rPr>
        <w:t>采购代理机构应当在评标结束后2个工作日内将评标报告送</w:t>
      </w:r>
      <w:r>
        <w:rPr>
          <w:rFonts w:hint="eastAsia" w:ascii="仿宋" w:hAnsi="仿宋" w:eastAsia="仿宋" w:cs="仿宋"/>
          <w:color w:val="auto"/>
          <w:sz w:val="24"/>
          <w:lang w:eastAsia="zh-CN"/>
        </w:rPr>
        <w:t>招标人</w:t>
      </w:r>
      <w:r>
        <w:rPr>
          <w:rFonts w:hint="eastAsia" w:ascii="仿宋" w:hAnsi="仿宋" w:eastAsia="仿宋" w:cs="仿宋"/>
          <w:color w:val="auto"/>
          <w:sz w:val="24"/>
        </w:rPr>
        <w:t>。</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eastAsia="zh-CN"/>
        </w:rPr>
        <w:t>招标人</w:t>
      </w:r>
      <w:r>
        <w:rPr>
          <w:rFonts w:hint="eastAsia" w:ascii="仿宋" w:hAnsi="仿宋" w:eastAsia="仿宋" w:cs="仿宋"/>
          <w:color w:val="auto"/>
          <w:sz w:val="24"/>
        </w:rPr>
        <w:t>应当自收到评标报告之日起5个工作日内按评标报告推荐的中标候选人顺序确定中标人。</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中标候选人并列的，由</w:t>
      </w:r>
      <w:r>
        <w:rPr>
          <w:rFonts w:hint="eastAsia" w:ascii="仿宋" w:hAnsi="仿宋" w:eastAsia="仿宋" w:cs="仿宋"/>
          <w:color w:val="auto"/>
          <w:sz w:val="24"/>
          <w:lang w:eastAsia="zh-CN"/>
        </w:rPr>
        <w:t>招标人</w:t>
      </w:r>
      <w:r>
        <w:rPr>
          <w:rFonts w:hint="eastAsia" w:ascii="仿宋" w:hAnsi="仿宋" w:eastAsia="仿宋" w:cs="仿宋"/>
          <w:color w:val="auto"/>
          <w:sz w:val="24"/>
        </w:rPr>
        <w:t>或者</w:t>
      </w:r>
      <w:r>
        <w:rPr>
          <w:rFonts w:hint="eastAsia" w:ascii="仿宋" w:hAnsi="仿宋" w:eastAsia="仿宋" w:cs="仿宋"/>
          <w:color w:val="auto"/>
          <w:sz w:val="24"/>
          <w:lang w:eastAsia="zh-CN"/>
        </w:rPr>
        <w:t>招标人</w:t>
      </w:r>
      <w:r>
        <w:rPr>
          <w:rFonts w:hint="eastAsia" w:ascii="仿宋" w:hAnsi="仿宋" w:eastAsia="仿宋" w:cs="仿宋"/>
          <w:color w:val="auto"/>
          <w:sz w:val="24"/>
        </w:rPr>
        <w:t>委托评标委员会按照</w:t>
      </w:r>
      <w:r>
        <w:rPr>
          <w:rFonts w:hint="eastAsia" w:ascii="仿宋" w:hAnsi="仿宋" w:eastAsia="仿宋" w:cs="仿宋"/>
          <w:color w:val="auto"/>
          <w:sz w:val="24"/>
          <w:szCs w:val="24"/>
        </w:rPr>
        <w:t>技术需求的优劣顺序排列；技术需求优劣顺序相同的，按商务条款的优劣顺序排列</w:t>
      </w:r>
      <w:r>
        <w:rPr>
          <w:rFonts w:hint="eastAsia" w:ascii="仿宋" w:hAnsi="仿宋" w:eastAsia="仿宋" w:cs="仿宋"/>
          <w:color w:val="auto"/>
          <w:sz w:val="24"/>
        </w:rPr>
        <w:t>确定中标人。</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招标人</w:t>
      </w:r>
      <w:r>
        <w:rPr>
          <w:rFonts w:hint="eastAsia" w:ascii="仿宋" w:hAnsi="仿宋" w:eastAsia="仿宋" w:cs="仿宋"/>
          <w:color w:val="auto"/>
          <w:sz w:val="24"/>
        </w:rPr>
        <w:t>或者采购代理机构应当自中标人确定之日起2个工作日内，在</w:t>
      </w:r>
      <w:r>
        <w:rPr>
          <w:rFonts w:hint="eastAsia" w:ascii="仿宋" w:hAnsi="仿宋" w:eastAsia="仿宋" w:cs="仿宋"/>
          <w:color w:val="auto"/>
          <w:sz w:val="24"/>
          <w:lang w:eastAsia="zh-CN"/>
        </w:rPr>
        <w:t>南川区城市建设投资（集团）有限公司官网</w:t>
      </w:r>
      <w:r>
        <w:rPr>
          <w:rFonts w:hint="eastAsia" w:ascii="仿宋" w:hAnsi="仿宋" w:eastAsia="仿宋" w:cs="仿宋"/>
          <w:color w:val="auto"/>
          <w:sz w:val="24"/>
        </w:rPr>
        <w:t>上公告中标结果。中标公告期限为1个工作日。</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4.中标人变更</w:t>
      </w:r>
    </w:p>
    <w:p>
      <w:pPr>
        <w:pStyle w:val="31"/>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中标人拒绝与</w:t>
      </w:r>
      <w:r>
        <w:rPr>
          <w:rFonts w:hint="eastAsia" w:ascii="仿宋" w:hAnsi="仿宋" w:eastAsia="仿宋" w:cs="仿宋"/>
          <w:color w:val="auto"/>
          <w:sz w:val="24"/>
          <w:lang w:eastAsia="zh-CN"/>
        </w:rPr>
        <w:t>招标人</w:t>
      </w:r>
      <w:r>
        <w:rPr>
          <w:rFonts w:hint="eastAsia" w:ascii="仿宋" w:hAnsi="仿宋" w:eastAsia="仿宋" w:cs="仿宋"/>
          <w:color w:val="auto"/>
          <w:sz w:val="24"/>
        </w:rPr>
        <w:t>签订合同的，</w:t>
      </w:r>
      <w:r>
        <w:rPr>
          <w:rFonts w:hint="eastAsia" w:ascii="仿宋" w:hAnsi="仿宋" w:eastAsia="仿宋" w:cs="仿宋"/>
          <w:color w:val="auto"/>
          <w:sz w:val="24"/>
          <w:lang w:eastAsia="zh-CN"/>
        </w:rPr>
        <w:t>招标人</w:t>
      </w:r>
      <w:r>
        <w:rPr>
          <w:rFonts w:hint="eastAsia" w:ascii="仿宋" w:hAnsi="仿宋" w:eastAsia="仿宋" w:cs="仿宋"/>
          <w:color w:val="auto"/>
          <w:sz w:val="24"/>
        </w:rPr>
        <w:t>可以按照评标报告推荐的中标候选人顺序，确定排名下一位的候选人为中标人，也可以重新开展政府采购活动。</w:t>
      </w:r>
    </w:p>
    <w:p>
      <w:pPr>
        <w:pStyle w:val="4"/>
        <w:spacing w:line="240" w:lineRule="auto"/>
        <w:ind w:left="0" w:leftChars="0" w:firstLine="501" w:firstLineChars="208"/>
        <w:outlineLvl w:val="0"/>
        <w:rPr>
          <w:rFonts w:hint="eastAsia" w:ascii="仿宋" w:hAnsi="仿宋" w:eastAsia="仿宋" w:cs="仿宋"/>
          <w:b/>
          <w:color w:val="auto"/>
          <w:lang w:val="en-US" w:eastAsia="zh-CN"/>
        </w:rPr>
      </w:pPr>
      <w:bookmarkStart w:id="218" w:name="_Toc10760"/>
      <w:bookmarkStart w:id="219" w:name="_Toc17835"/>
      <w:bookmarkStart w:id="220" w:name="_Toc19286"/>
      <w:bookmarkStart w:id="221" w:name="_Toc6581"/>
      <w:bookmarkStart w:id="222" w:name="_Toc14427"/>
      <w:bookmarkStart w:id="223" w:name="_Toc75793530"/>
      <w:r>
        <w:rPr>
          <w:rFonts w:hint="eastAsia" w:ascii="仿宋" w:hAnsi="仿宋" w:eastAsia="仿宋" w:cs="仿宋"/>
          <w:b/>
          <w:color w:val="auto"/>
          <w:lang w:val="en-US" w:eastAsia="zh-CN"/>
        </w:rPr>
        <w:t>七、中标</w:t>
      </w:r>
      <w:bookmarkEnd w:id="218"/>
      <w:bookmarkEnd w:id="219"/>
      <w:bookmarkEnd w:id="220"/>
      <w:bookmarkEnd w:id="221"/>
      <w:bookmarkEnd w:id="222"/>
      <w:bookmarkEnd w:id="223"/>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w:t>
      </w:r>
      <w:r>
        <w:rPr>
          <w:rFonts w:hint="eastAsia" w:ascii="仿宋" w:hAnsi="仿宋" w:eastAsia="仿宋" w:cs="仿宋"/>
          <w:color w:val="auto"/>
          <w:sz w:val="24"/>
          <w:lang w:eastAsia="zh-CN"/>
        </w:rPr>
        <w:t>招标人</w:t>
      </w:r>
      <w:r>
        <w:rPr>
          <w:rFonts w:hint="eastAsia" w:ascii="仿宋" w:hAnsi="仿宋" w:eastAsia="仿宋" w:cs="仿宋"/>
          <w:color w:val="auto"/>
          <w:sz w:val="24"/>
        </w:rPr>
        <w:t>依法确定中标人后，采购代理机构以书面形式发出中标通知书。</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（二）中标通知书发出后，</w:t>
      </w:r>
      <w:r>
        <w:rPr>
          <w:rFonts w:hint="eastAsia" w:ascii="仿宋" w:hAnsi="仿宋" w:eastAsia="仿宋" w:cs="仿宋"/>
          <w:color w:val="auto"/>
          <w:sz w:val="24"/>
          <w:lang w:eastAsia="zh-CN"/>
        </w:rPr>
        <w:t>招标人</w:t>
      </w:r>
      <w:r>
        <w:rPr>
          <w:rFonts w:hint="eastAsia" w:ascii="仿宋" w:hAnsi="仿宋" w:eastAsia="仿宋" w:cs="仿宋"/>
          <w:color w:val="auto"/>
          <w:sz w:val="24"/>
        </w:rPr>
        <w:t>改变中标结果，或者中标人放弃中标，应当承担相应的法律责任。</w:t>
      </w:r>
    </w:p>
    <w:p>
      <w:pPr>
        <w:pStyle w:val="4"/>
        <w:spacing w:line="240" w:lineRule="auto"/>
        <w:ind w:left="0" w:leftChars="0" w:firstLine="501" w:firstLineChars="208"/>
        <w:outlineLvl w:val="0"/>
        <w:rPr>
          <w:rFonts w:hint="eastAsia" w:ascii="仿宋" w:hAnsi="仿宋" w:eastAsia="仿宋" w:cs="仿宋"/>
          <w:b/>
          <w:color w:val="auto"/>
          <w:lang w:val="en-US" w:eastAsia="zh-CN"/>
        </w:rPr>
      </w:pPr>
      <w:bookmarkStart w:id="224" w:name="_Toc9622"/>
      <w:bookmarkStart w:id="225" w:name="_Toc18976"/>
      <w:bookmarkStart w:id="226" w:name="_Toc75793531"/>
      <w:bookmarkStart w:id="227" w:name="_Toc8707"/>
      <w:bookmarkStart w:id="228" w:name="_Toc32039"/>
      <w:bookmarkStart w:id="229" w:name="_Toc12996"/>
      <w:r>
        <w:rPr>
          <w:rFonts w:hint="eastAsia" w:ascii="仿宋" w:hAnsi="仿宋" w:eastAsia="仿宋" w:cs="仿宋"/>
          <w:b/>
          <w:color w:val="auto"/>
          <w:lang w:val="en-US" w:eastAsia="zh-CN"/>
        </w:rPr>
        <w:t>八、询问、质疑和投诉</w:t>
      </w:r>
      <w:bookmarkEnd w:id="224"/>
      <w:bookmarkEnd w:id="225"/>
      <w:bookmarkEnd w:id="226"/>
      <w:bookmarkEnd w:id="227"/>
      <w:bookmarkEnd w:id="228"/>
      <w:bookmarkEnd w:id="229"/>
    </w:p>
    <w:p>
      <w:pPr>
        <w:spacing w:line="400" w:lineRule="exact"/>
        <w:ind w:right="12" w:firstLine="480"/>
        <w:outlineLvl w:val="1"/>
        <w:rPr>
          <w:rFonts w:hint="eastAsia" w:ascii="仿宋" w:hAnsi="仿宋" w:eastAsia="仿宋" w:cs="仿宋"/>
          <w:color w:val="auto"/>
          <w:sz w:val="24"/>
        </w:rPr>
      </w:pPr>
      <w:bookmarkStart w:id="230" w:name="_Toc15733"/>
      <w:r>
        <w:rPr>
          <w:rFonts w:hint="eastAsia" w:ascii="仿宋" w:hAnsi="仿宋" w:eastAsia="仿宋" w:cs="仿宋"/>
          <w:color w:val="auto"/>
          <w:sz w:val="24"/>
        </w:rPr>
        <w:t>（一）询问</w:t>
      </w:r>
      <w:bookmarkEnd w:id="230"/>
    </w:p>
    <w:p>
      <w:pPr>
        <w:spacing w:line="400" w:lineRule="exact"/>
        <w:ind w:right="12" w:firstLine="480"/>
        <w:rPr>
          <w:rFonts w:hint="eastAsia" w:ascii="仿宋" w:hAnsi="仿宋" w:eastAsia="仿宋" w:cs="仿宋"/>
          <w:color w:val="auto"/>
          <w:sz w:val="24"/>
        </w:rPr>
      </w:pPr>
      <w:r>
        <w:rPr>
          <w:rFonts w:hint="eastAsia" w:ascii="仿宋" w:hAnsi="仿宋" w:eastAsia="仿宋" w:cs="仿宋"/>
          <w:color w:val="auto"/>
          <w:sz w:val="24"/>
          <w:lang w:eastAsia="zh-CN"/>
        </w:rPr>
        <w:t>招标人</w:t>
      </w:r>
      <w:r>
        <w:rPr>
          <w:rFonts w:hint="eastAsia" w:ascii="仿宋" w:hAnsi="仿宋" w:eastAsia="仿宋" w:cs="仿宋"/>
          <w:color w:val="auto"/>
          <w:sz w:val="24"/>
        </w:rPr>
        <w:t>或者采购代理机构应当在3个工作日内对投标人依法提出的询问作出答复。投标人询问可以是口头或书面形式。</w:t>
      </w:r>
    </w:p>
    <w:p>
      <w:pPr>
        <w:snapToGrid w:val="0"/>
        <w:spacing w:line="400" w:lineRule="exact"/>
        <w:ind w:firstLine="480" w:firstLineChars="200"/>
        <w:outlineLvl w:val="1"/>
        <w:rPr>
          <w:rFonts w:hint="eastAsia" w:ascii="仿宋" w:hAnsi="仿宋" w:eastAsia="仿宋" w:cs="仿宋"/>
          <w:color w:val="auto"/>
          <w:sz w:val="24"/>
        </w:rPr>
      </w:pPr>
      <w:bookmarkStart w:id="231" w:name="_Toc23332"/>
      <w:r>
        <w:rPr>
          <w:rFonts w:hint="eastAsia" w:ascii="仿宋" w:hAnsi="仿宋" w:eastAsia="仿宋" w:cs="仿宋"/>
          <w:color w:val="auto"/>
          <w:sz w:val="24"/>
        </w:rPr>
        <w:t>（二）质疑</w:t>
      </w:r>
      <w:bookmarkEnd w:id="231"/>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投标人认为采购文件、采购过程和中标结果使自己的权益受到伤害的，可向</w:t>
      </w:r>
      <w:r>
        <w:rPr>
          <w:rFonts w:hint="eastAsia" w:ascii="仿宋" w:hAnsi="仿宋" w:eastAsia="仿宋" w:cs="仿宋"/>
          <w:color w:val="auto"/>
          <w:sz w:val="24"/>
          <w:lang w:eastAsia="zh-CN"/>
        </w:rPr>
        <w:t>招标人</w:t>
      </w:r>
      <w:r>
        <w:rPr>
          <w:rFonts w:hint="eastAsia" w:ascii="仿宋" w:hAnsi="仿宋" w:eastAsia="仿宋" w:cs="仿宋"/>
          <w:color w:val="auto"/>
          <w:sz w:val="24"/>
        </w:rPr>
        <w:t>或采购代理机构以书面形式提出质疑。</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提出质疑的应当是参与所质疑项目采购活动的投标人。 </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1.质疑时限、内容</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1.1投标人对招标文件提出质疑的，应在依法获取招标文件之日或者招标文件公告期限届满之日起七个工作日内提出。</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 投标人对采购过程提出质疑的，应在各采购程序环节结束之日起七个工作日内提出。</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1.3投标人对中标结果提出质疑的，应当在中标结果公告期限届满之日起七个工作日内提出。</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1.4投标人提出质疑应当提交质疑函和必要的证明材料，质疑函应当包括下列内容：</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1.4.1</w:t>
      </w:r>
      <w:r>
        <w:rPr>
          <w:rFonts w:hint="eastAsia" w:ascii="仿宋" w:hAnsi="仿宋" w:eastAsia="仿宋" w:cs="仿宋"/>
          <w:color w:val="auto"/>
          <w:sz w:val="24"/>
          <w:lang w:eastAsia="zh-CN"/>
        </w:rPr>
        <w:t>投标人</w:t>
      </w:r>
      <w:r>
        <w:rPr>
          <w:rFonts w:hint="eastAsia" w:ascii="仿宋" w:hAnsi="仿宋" w:eastAsia="仿宋" w:cs="仿宋"/>
          <w:color w:val="auto"/>
          <w:sz w:val="24"/>
        </w:rPr>
        <w:t>的姓名或者名称、地址、邮编、联系人及联系电话；</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1.4.2质疑项目的名称、项目编号以及采购执行编号；</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1.4.3具体、明确的质疑事项和与质疑事项相关的请求；</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1.4.4事实依据；</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1.4.5必要的法律依据；</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1.4.6提出质疑的日期；</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1.4.7营业执照（或事业单位法人证书，或个体工商户营业执照或有效的自然人身份证明）复印件；</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1.4.8法定代表人授权委托书原件、法定代表人身份证复印件和其授权代表的身份证复印件；</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2.质疑答复</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招标人</w:t>
      </w:r>
      <w:r>
        <w:rPr>
          <w:rFonts w:hint="eastAsia" w:ascii="仿宋" w:hAnsi="仿宋" w:eastAsia="仿宋" w:cs="仿宋"/>
          <w:color w:val="auto"/>
          <w:sz w:val="24"/>
        </w:rPr>
        <w:t>、采购代理机构应当在收到投标人的书面质疑后七个工作日内作出答复，并以书面形式通知质疑投标人和其他有关投标人。</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3.其他</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3.1投标人应按照《政府采购质疑和投诉办法》（财政部令第94号）及相关法律法规要求，在法定质疑期内一次性提出针对同一采购程序环节的质疑。</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3.2质疑函范本可在财政部门户网站和中国政府采购网下载。</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4.质疑联系方式详见第一篇“联系方式”。</w:t>
      </w:r>
    </w:p>
    <w:p>
      <w:pPr>
        <w:snapToGrid w:val="0"/>
        <w:spacing w:line="400" w:lineRule="exact"/>
        <w:ind w:firstLine="480" w:firstLineChars="200"/>
        <w:outlineLvl w:val="1"/>
        <w:rPr>
          <w:rFonts w:hint="eastAsia" w:ascii="仿宋" w:hAnsi="仿宋" w:eastAsia="仿宋" w:cs="仿宋"/>
          <w:color w:val="auto"/>
          <w:sz w:val="24"/>
        </w:rPr>
      </w:pPr>
      <w:bookmarkStart w:id="232" w:name="_Toc15205"/>
      <w:r>
        <w:rPr>
          <w:rFonts w:hint="eastAsia" w:ascii="仿宋" w:hAnsi="仿宋" w:eastAsia="仿宋" w:cs="仿宋"/>
          <w:color w:val="auto"/>
          <w:sz w:val="24"/>
        </w:rPr>
        <w:t>（三）投诉</w:t>
      </w:r>
      <w:bookmarkEnd w:id="232"/>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1.投标人对</w:t>
      </w:r>
      <w:r>
        <w:rPr>
          <w:rFonts w:hint="eastAsia" w:ascii="仿宋" w:hAnsi="仿宋" w:eastAsia="仿宋" w:cs="仿宋"/>
          <w:color w:val="auto"/>
          <w:sz w:val="24"/>
          <w:lang w:eastAsia="zh-CN"/>
        </w:rPr>
        <w:t>招标人</w:t>
      </w:r>
      <w:r>
        <w:rPr>
          <w:rFonts w:hint="eastAsia" w:ascii="仿宋" w:hAnsi="仿宋" w:eastAsia="仿宋" w:cs="仿宋"/>
          <w:color w:val="auto"/>
          <w:sz w:val="24"/>
        </w:rPr>
        <w:t>、采购代理机构的答复不满意，或者</w:t>
      </w:r>
      <w:r>
        <w:rPr>
          <w:rFonts w:hint="eastAsia" w:ascii="仿宋" w:hAnsi="仿宋" w:eastAsia="仿宋" w:cs="仿宋"/>
          <w:color w:val="auto"/>
          <w:sz w:val="24"/>
          <w:lang w:eastAsia="zh-CN"/>
        </w:rPr>
        <w:t>招标人</w:t>
      </w:r>
      <w:r>
        <w:rPr>
          <w:rFonts w:hint="eastAsia" w:ascii="仿宋" w:hAnsi="仿宋" w:eastAsia="仿宋" w:cs="仿宋"/>
          <w:color w:val="auto"/>
          <w:sz w:val="24"/>
        </w:rPr>
        <w:t>、采购代理机构未在规定时间内作出答复的，可以在答复期满后15个工作日内按照相关法律法规向</w:t>
      </w:r>
      <w:r>
        <w:rPr>
          <w:rFonts w:hint="eastAsia" w:ascii="仿宋" w:hAnsi="仿宋" w:eastAsia="仿宋" w:cs="仿宋"/>
          <w:color w:val="auto"/>
          <w:sz w:val="24"/>
          <w:lang w:val="en-US" w:eastAsia="zh-CN"/>
        </w:rPr>
        <w:t>国资管理</w:t>
      </w:r>
      <w:r>
        <w:rPr>
          <w:rFonts w:hint="eastAsia" w:ascii="仿宋" w:hAnsi="仿宋" w:eastAsia="仿宋" w:cs="仿宋"/>
          <w:color w:val="auto"/>
          <w:sz w:val="24"/>
        </w:rPr>
        <w:t>部门提起投诉。</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2.投标人应按照《政府采购质疑和投诉办法》（财政部令第94号）及相关法律法规要求递交投诉书和必要的证明材料。投诉书范本可在财政部门户网站和中国政府采购网下载。</w:t>
      </w:r>
    </w:p>
    <w:p>
      <w:pPr>
        <w:snapToGrid w:val="0"/>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3.投诉书应当使用中文，相关当事人提供外文书证或者外国语视听资料的，应当附有中文译本，由翻译机构盖章或者翻译人员签名；相关当事人向</w:t>
      </w:r>
      <w:r>
        <w:rPr>
          <w:rFonts w:hint="eastAsia" w:ascii="仿宋" w:hAnsi="仿宋" w:eastAsia="仿宋" w:cs="仿宋"/>
          <w:color w:val="auto"/>
          <w:sz w:val="24"/>
          <w:lang w:val="en-US" w:eastAsia="zh-CN"/>
        </w:rPr>
        <w:t>国资管理</w:t>
      </w:r>
      <w:r>
        <w:rPr>
          <w:rFonts w:hint="eastAsia" w:ascii="仿宋" w:hAnsi="仿宋" w:eastAsia="仿宋" w:cs="仿宋"/>
          <w:color w:val="auto"/>
          <w:sz w:val="24"/>
        </w:rPr>
        <w:t>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ind w:firstLine="480" w:firstLineChars="200"/>
        <w:rPr>
          <w:rFonts w:hint="eastAsia" w:ascii="仿宋" w:hAnsi="仿宋" w:eastAsia="仿宋" w:cs="仿宋"/>
          <w:color w:val="auto"/>
          <w:sz w:val="30"/>
          <w:szCs w:val="30"/>
        </w:rPr>
      </w:pPr>
      <w:r>
        <w:rPr>
          <w:rFonts w:hint="eastAsia" w:ascii="仿宋" w:hAnsi="仿宋" w:eastAsia="仿宋" w:cs="仿宋"/>
          <w:color w:val="auto"/>
          <w:sz w:val="24"/>
        </w:rPr>
        <w:t>4.在确定受理投诉后，</w:t>
      </w:r>
      <w:r>
        <w:rPr>
          <w:rFonts w:hint="eastAsia" w:ascii="仿宋" w:hAnsi="仿宋" w:eastAsia="仿宋" w:cs="仿宋"/>
          <w:color w:val="auto"/>
          <w:sz w:val="24"/>
          <w:lang w:val="en-US" w:eastAsia="zh-CN"/>
        </w:rPr>
        <w:t>国资管理</w:t>
      </w:r>
      <w:r>
        <w:rPr>
          <w:rFonts w:hint="eastAsia" w:ascii="仿宋" w:hAnsi="仿宋" w:eastAsia="仿宋" w:cs="仿宋"/>
          <w:color w:val="auto"/>
          <w:sz w:val="24"/>
        </w:rPr>
        <w:t>部门自受理投诉之日起30个工作日内（需要检验、检测、鉴定、专家评审以及需要投诉人补正材料的，所需时间不计算在投诉处理期限内）对投诉事项做出处理决定。</w:t>
      </w:r>
    </w:p>
    <w:p>
      <w:pPr>
        <w:pStyle w:val="4"/>
        <w:spacing w:line="240" w:lineRule="auto"/>
        <w:ind w:left="0" w:leftChars="0" w:firstLine="501" w:firstLineChars="208"/>
        <w:outlineLvl w:val="0"/>
        <w:rPr>
          <w:rFonts w:hint="eastAsia" w:ascii="仿宋" w:hAnsi="仿宋" w:eastAsia="仿宋" w:cs="仿宋"/>
          <w:b/>
          <w:color w:val="auto"/>
          <w:lang w:val="en-US" w:eastAsia="zh-CN"/>
        </w:rPr>
      </w:pPr>
      <w:bookmarkStart w:id="233" w:name="_Toc12040"/>
      <w:bookmarkStart w:id="234" w:name="_Toc21074"/>
      <w:bookmarkStart w:id="235" w:name="_Toc416"/>
      <w:r>
        <w:rPr>
          <w:rFonts w:hint="eastAsia" w:ascii="仿宋" w:hAnsi="仿宋" w:eastAsia="仿宋" w:cs="仿宋"/>
          <w:b/>
          <w:color w:val="auto"/>
          <w:lang w:val="en-US" w:eastAsia="zh-CN"/>
        </w:rPr>
        <w:t>九、采购代理服务费</w:t>
      </w:r>
      <w:bookmarkEnd w:id="233"/>
      <w:bookmarkEnd w:id="234"/>
      <w:bookmarkEnd w:id="235"/>
    </w:p>
    <w:p>
      <w:pPr>
        <w:ind w:firstLine="480" w:firstLineChars="200"/>
        <w:rPr>
          <w:rFonts w:hint="eastAsia" w:ascii="仿宋" w:hAnsi="仿宋" w:eastAsia="仿宋" w:cs="仿宋"/>
          <w:color w:val="auto"/>
          <w:sz w:val="24"/>
          <w:lang w:val="en-US" w:eastAsia="zh-CN"/>
        </w:rPr>
      </w:pPr>
      <w:bookmarkStart w:id="236" w:name="_Toc10168"/>
      <w:bookmarkStart w:id="237" w:name="_Toc31479"/>
      <w:r>
        <w:rPr>
          <w:rFonts w:hint="eastAsia" w:ascii="仿宋" w:hAnsi="仿宋" w:eastAsia="仿宋" w:cs="仿宋"/>
          <w:color w:val="auto"/>
          <w:sz w:val="24"/>
          <w:lang w:val="en-US" w:eastAsia="zh-CN"/>
        </w:rPr>
        <w:t xml:space="preserve"> </w:t>
      </w:r>
      <w:bookmarkStart w:id="238" w:name="_Toc20729"/>
      <w:r>
        <w:rPr>
          <w:rFonts w:hint="eastAsia" w:ascii="仿宋" w:hAnsi="仿宋" w:eastAsia="仿宋" w:cs="仿宋"/>
          <w:color w:val="auto"/>
          <w:sz w:val="24"/>
          <w:lang w:val="en-US" w:eastAsia="zh-CN"/>
        </w:rPr>
        <w:t>根据国家现行取费政策，参照《招标代理服务收费管理暂行办法》（计价格〔2002〕1980号）文件规定，结合市场行情按货物类标准50%计取；由中标人支付，并包含在投标报价中。</w:t>
      </w:r>
      <w:bookmarkEnd w:id="238"/>
    </w:p>
    <w:p>
      <w:pPr>
        <w:pStyle w:val="4"/>
        <w:spacing w:line="240" w:lineRule="auto"/>
        <w:ind w:left="0" w:leftChars="0" w:firstLine="501" w:firstLineChars="208"/>
        <w:outlineLvl w:val="0"/>
        <w:rPr>
          <w:rFonts w:hint="eastAsia" w:ascii="仿宋" w:hAnsi="仿宋" w:eastAsia="仿宋" w:cs="仿宋"/>
          <w:b/>
          <w:color w:val="auto"/>
          <w:lang w:val="en-US" w:eastAsia="zh-CN"/>
        </w:rPr>
      </w:pPr>
      <w:bookmarkStart w:id="239" w:name="_Toc5887"/>
      <w:bookmarkStart w:id="240" w:name="_Toc4750"/>
      <w:bookmarkStart w:id="241" w:name="_Toc23004"/>
      <w:bookmarkStart w:id="242" w:name="_Toc27433"/>
      <w:r>
        <w:rPr>
          <w:rFonts w:hint="eastAsia" w:ascii="仿宋" w:hAnsi="仿宋" w:eastAsia="仿宋" w:cs="仿宋"/>
          <w:b/>
          <w:color w:val="auto"/>
          <w:lang w:val="en-US" w:eastAsia="zh-CN"/>
        </w:rPr>
        <w:t>十、签订合同</w:t>
      </w:r>
      <w:bookmarkEnd w:id="236"/>
      <w:bookmarkEnd w:id="237"/>
      <w:bookmarkEnd w:id="239"/>
      <w:bookmarkEnd w:id="240"/>
      <w:bookmarkEnd w:id="241"/>
      <w:bookmarkEnd w:id="242"/>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w:t>
      </w:r>
      <w:r>
        <w:rPr>
          <w:rFonts w:hint="eastAsia" w:ascii="仿宋" w:hAnsi="仿宋" w:eastAsia="仿宋" w:cs="仿宋"/>
          <w:color w:val="auto"/>
          <w:sz w:val="24"/>
          <w:lang w:eastAsia="zh-CN"/>
        </w:rPr>
        <w:t>招标人</w:t>
      </w:r>
      <w:r>
        <w:rPr>
          <w:rFonts w:hint="eastAsia" w:ascii="仿宋" w:hAnsi="仿宋" w:eastAsia="仿宋" w:cs="仿宋"/>
          <w:color w:val="auto"/>
          <w:sz w:val="24"/>
        </w:rPr>
        <w:t>应当自中标通知书发出之日起三十日内，按照招标文件和中标人投标文件的约定，与中标人签订书面合同。所签订的合同不得对招标文件和中标人投标文件作实质性修改。</w:t>
      </w:r>
      <w:r>
        <w:rPr>
          <w:rFonts w:hint="eastAsia" w:ascii="仿宋" w:hAnsi="仿宋" w:eastAsia="仿宋" w:cs="仿宋"/>
          <w:color w:val="auto"/>
          <w:kern w:val="0"/>
          <w:sz w:val="24"/>
          <w:szCs w:val="24"/>
        </w:rPr>
        <w:t>其他未尽事宜由</w:t>
      </w:r>
      <w:r>
        <w:rPr>
          <w:rFonts w:hint="eastAsia" w:ascii="仿宋" w:hAnsi="仿宋" w:eastAsia="仿宋" w:cs="仿宋"/>
          <w:color w:val="auto"/>
          <w:kern w:val="0"/>
          <w:sz w:val="24"/>
          <w:szCs w:val="24"/>
          <w:lang w:eastAsia="zh-CN"/>
        </w:rPr>
        <w:t>招标人</w:t>
      </w:r>
      <w:r>
        <w:rPr>
          <w:rFonts w:hint="eastAsia" w:ascii="仿宋" w:hAnsi="仿宋" w:eastAsia="仿宋" w:cs="仿宋"/>
          <w:color w:val="auto"/>
          <w:kern w:val="0"/>
          <w:sz w:val="24"/>
          <w:szCs w:val="24"/>
        </w:rPr>
        <w:t>和中标人在采购合同中详细约定。</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（二）招标文件、中标人的投标文件及澄清文件等，均为签订</w:t>
      </w:r>
      <w:r>
        <w:rPr>
          <w:rFonts w:hint="eastAsia" w:ascii="仿宋" w:hAnsi="仿宋" w:eastAsia="仿宋" w:cs="仿宋"/>
          <w:color w:val="auto"/>
          <w:sz w:val="24"/>
          <w:lang w:eastAsia="zh-CN"/>
        </w:rPr>
        <w:t>书面合同</w:t>
      </w:r>
      <w:r>
        <w:rPr>
          <w:rFonts w:hint="eastAsia" w:ascii="仿宋" w:hAnsi="仿宋" w:eastAsia="仿宋" w:cs="仿宋"/>
          <w:color w:val="auto"/>
          <w:sz w:val="24"/>
        </w:rPr>
        <w:t>的依据。</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（四）合同生效条款由供需双方约定，法律、行政法规规定应当办理批准、登记等手续后生效的合同，依照其规定。</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（五）</w:t>
      </w:r>
      <w:r>
        <w:rPr>
          <w:rFonts w:hint="eastAsia" w:ascii="仿宋" w:hAnsi="仿宋" w:eastAsia="仿宋" w:cs="仿宋"/>
          <w:color w:val="auto"/>
          <w:sz w:val="24"/>
          <w:lang w:val="en-US" w:eastAsia="zh-CN"/>
        </w:rPr>
        <w:t>按现行相关法律法规自行签订，但不得改变招标文件实质性要求。</w:t>
      </w:r>
    </w:p>
    <w:p>
      <w:pPr>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（六）</w:t>
      </w:r>
      <w:r>
        <w:rPr>
          <w:rFonts w:hint="eastAsia" w:ascii="仿宋" w:hAnsi="仿宋" w:eastAsia="仿宋" w:cs="仿宋"/>
          <w:color w:val="auto"/>
          <w:sz w:val="24"/>
          <w:lang w:eastAsia="zh-CN"/>
        </w:rPr>
        <w:t>招标人</w:t>
      </w:r>
      <w:r>
        <w:rPr>
          <w:rFonts w:hint="eastAsia" w:ascii="仿宋" w:hAnsi="仿宋" w:eastAsia="仿宋" w:cs="仿宋"/>
          <w:color w:val="auto"/>
          <w:sz w:val="24"/>
        </w:rPr>
        <w:t>要求中标人提供履约保证金的，应当在招标文件中予以约定。中标人履约完毕后，</w:t>
      </w:r>
      <w:r>
        <w:rPr>
          <w:rFonts w:hint="eastAsia" w:ascii="仿宋" w:hAnsi="仿宋" w:eastAsia="仿宋" w:cs="仿宋"/>
          <w:color w:val="auto"/>
          <w:sz w:val="24"/>
          <w:lang w:eastAsia="zh-CN"/>
        </w:rPr>
        <w:t>招标人</w:t>
      </w:r>
      <w:r>
        <w:rPr>
          <w:rFonts w:hint="eastAsia" w:ascii="仿宋" w:hAnsi="仿宋" w:eastAsia="仿宋" w:cs="仿宋"/>
          <w:color w:val="auto"/>
          <w:sz w:val="24"/>
        </w:rPr>
        <w:t>应按招标文件及合同的约定无息退还其履约保证金。</w:t>
      </w:r>
    </w:p>
    <w:p>
      <w:pPr>
        <w:pStyle w:val="3"/>
        <w:spacing w:before="0" w:beforeLines="0" w:after="0" w:afterLines="0" w:line="360" w:lineRule="auto"/>
        <w:outlineLvl w:val="1"/>
        <w:rPr>
          <w:rFonts w:hint="eastAsia" w:ascii="仿宋" w:hAnsi="仿宋" w:eastAsia="仿宋" w:cs="仿宋"/>
          <w:b/>
          <w:color w:val="auto"/>
        </w:rPr>
      </w:pPr>
      <w:r>
        <w:rPr>
          <w:rFonts w:hint="eastAsia" w:ascii="仿宋" w:hAnsi="仿宋" w:eastAsia="仿宋" w:cs="仿宋"/>
          <w:color w:val="auto"/>
          <w:sz w:val="30"/>
          <w:szCs w:val="30"/>
        </w:rPr>
        <w:br w:type="page"/>
      </w:r>
      <w:bookmarkEnd w:id="170"/>
      <w:bookmarkEnd w:id="171"/>
      <w:bookmarkEnd w:id="172"/>
      <w:bookmarkStart w:id="243" w:name="_Toc11303"/>
      <w:bookmarkStart w:id="244" w:name="_Toc11925"/>
      <w:bookmarkStart w:id="245" w:name="_Toc5979"/>
      <w:bookmarkStart w:id="246" w:name="_Hlk88147412"/>
      <w:r>
        <w:rPr>
          <w:rFonts w:hint="eastAsia" w:ascii="仿宋" w:hAnsi="仿宋" w:eastAsia="仿宋" w:cs="仿宋"/>
          <w:b/>
          <w:color w:val="auto"/>
        </w:rPr>
        <w:t>第六篇  合同主要条款和格式合同（样本）</w:t>
      </w:r>
      <w:bookmarkEnd w:id="243"/>
      <w:bookmarkEnd w:id="244"/>
      <w:bookmarkEnd w:id="245"/>
    </w:p>
    <w:bookmarkEnd w:id="246"/>
    <w:p>
      <w:pPr>
        <w:jc w:val="center"/>
        <w:rPr>
          <w:rFonts w:hint="eastAsia" w:ascii="仿宋" w:hAnsi="仿宋" w:eastAsia="仿宋" w:cs="仿宋"/>
          <w:color w:val="auto"/>
        </w:rPr>
      </w:pPr>
      <w:r>
        <w:rPr>
          <w:rFonts w:hint="eastAsia" w:ascii="仿宋" w:hAnsi="仿宋" w:eastAsia="仿宋" w:cs="仿宋"/>
          <w:color w:val="auto"/>
          <w:sz w:val="21"/>
          <w:szCs w:val="21"/>
          <w:lang w:eastAsia="zh-CN"/>
        </w:rPr>
        <w:t>由供需双方</w:t>
      </w:r>
      <w:r>
        <w:rPr>
          <w:rFonts w:hint="eastAsia" w:ascii="仿宋" w:hAnsi="仿宋" w:eastAsia="仿宋" w:cs="仿宋"/>
          <w:color w:val="auto"/>
          <w:sz w:val="21"/>
          <w:szCs w:val="21"/>
        </w:rPr>
        <w:t>按现行相关法律法规自行</w:t>
      </w:r>
      <w:r>
        <w:rPr>
          <w:rFonts w:hint="eastAsia" w:ascii="仿宋" w:hAnsi="仿宋" w:eastAsia="仿宋" w:cs="仿宋"/>
          <w:color w:val="auto"/>
          <w:sz w:val="21"/>
          <w:szCs w:val="21"/>
          <w:lang w:eastAsia="zh-CN"/>
        </w:rPr>
        <w:t>协商</w:t>
      </w:r>
      <w:r>
        <w:rPr>
          <w:rFonts w:hint="eastAsia" w:ascii="仿宋" w:hAnsi="仿宋" w:eastAsia="仿宋" w:cs="仿宋"/>
          <w:color w:val="auto"/>
          <w:sz w:val="21"/>
          <w:szCs w:val="21"/>
        </w:rPr>
        <w:t>签订，但不得改变招标文件实质性要求</w:t>
      </w:r>
      <w:r>
        <w:rPr>
          <w:rFonts w:hint="eastAsia" w:ascii="仿宋" w:hAnsi="仿宋" w:eastAsia="仿宋" w:cs="仿宋"/>
          <w:color w:val="auto"/>
        </w:rPr>
        <w:t>。</w:t>
      </w:r>
    </w:p>
    <w:p>
      <w:pPr>
        <w:pStyle w:val="3"/>
        <w:spacing w:before="0" w:beforeLines="0" w:after="0" w:afterLines="0" w:line="360" w:lineRule="auto"/>
        <w:outlineLvl w:val="1"/>
        <w:rPr>
          <w:rFonts w:hint="eastAsia" w:ascii="仿宋" w:hAnsi="仿宋" w:eastAsia="仿宋" w:cs="仿宋"/>
          <w:b/>
          <w:bCs/>
          <w:color w:val="auto"/>
          <w:sz w:val="36"/>
          <w:szCs w:val="36"/>
          <w:lang w:val="en-US" w:eastAsia="zh-CN"/>
        </w:rPr>
      </w:pPr>
      <w:r>
        <w:rPr>
          <w:rFonts w:hint="eastAsia" w:ascii="仿宋" w:hAnsi="仿宋" w:eastAsia="仿宋" w:cs="仿宋"/>
          <w:color w:val="auto"/>
        </w:rPr>
        <w:br w:type="page"/>
      </w:r>
      <w:bookmarkStart w:id="247" w:name="_Toc9434"/>
      <w:bookmarkStart w:id="248" w:name="_Toc14475"/>
      <w:bookmarkStart w:id="249" w:name="_Toc423596071"/>
      <w:bookmarkStart w:id="250" w:name="_Toc429558995"/>
      <w:r>
        <w:rPr>
          <w:rFonts w:hint="eastAsia" w:ascii="仿宋" w:hAnsi="仿宋" w:eastAsia="仿宋" w:cs="仿宋"/>
          <w:b/>
          <w:bCs/>
          <w:color w:val="auto"/>
          <w:sz w:val="36"/>
          <w:szCs w:val="36"/>
          <w:lang w:val="en-US" w:eastAsia="zh-CN"/>
        </w:rPr>
        <w:t>第七篇  投标文件格式</w:t>
      </w:r>
      <w:bookmarkEnd w:id="247"/>
      <w:bookmarkEnd w:id="248"/>
      <w:bookmarkEnd w:id="249"/>
      <w:bookmarkEnd w:id="250"/>
    </w:p>
    <w:p>
      <w:pPr>
        <w:rPr>
          <w:rFonts w:hint="eastAsia" w:ascii="仿宋" w:hAnsi="仿宋" w:eastAsia="仿宋" w:cs="仿宋"/>
          <w:color w:val="auto"/>
          <w:sz w:val="30"/>
          <w:szCs w:val="30"/>
        </w:rPr>
      </w:pPr>
    </w:p>
    <w:p>
      <w:pPr>
        <w:spacing w:line="360" w:lineRule="auto"/>
        <w:ind w:firstLine="560" w:firstLineChars="200"/>
        <w:outlineLvl w:val="0"/>
        <w:rPr>
          <w:rFonts w:hint="eastAsia" w:ascii="仿宋" w:hAnsi="仿宋" w:eastAsia="仿宋" w:cs="仿宋"/>
          <w:color w:val="auto"/>
          <w:sz w:val="28"/>
          <w:szCs w:val="28"/>
        </w:rPr>
      </w:pPr>
      <w:bookmarkStart w:id="251" w:name="_Toc1509"/>
      <w:bookmarkStart w:id="252" w:name="_Toc9792"/>
      <w:bookmarkStart w:id="253" w:name="_Toc25074"/>
      <w:bookmarkStart w:id="254" w:name="_Hlk104800341"/>
      <w:bookmarkStart w:id="255" w:name="_Hlk104974889"/>
      <w:bookmarkStart w:id="256" w:name="_Hlk51936279"/>
      <w:r>
        <w:rPr>
          <w:rFonts w:hint="eastAsia" w:ascii="仿宋" w:hAnsi="仿宋" w:eastAsia="仿宋" w:cs="仿宋"/>
          <w:color w:val="auto"/>
          <w:sz w:val="28"/>
          <w:szCs w:val="28"/>
        </w:rPr>
        <w:t>一、经济文件</w:t>
      </w:r>
      <w:bookmarkEnd w:id="251"/>
      <w:bookmarkEnd w:id="252"/>
      <w:bookmarkEnd w:id="253"/>
    </w:p>
    <w:p>
      <w:pPr>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（一）开标一览表</w:t>
      </w:r>
    </w:p>
    <w:p>
      <w:pPr>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30"/>
          <w:szCs w:val="30"/>
          <w:lang w:eastAsia="zh-CN"/>
        </w:rPr>
        <w:t>已标价的工程量清单报价表</w:t>
      </w:r>
    </w:p>
    <w:p>
      <w:pPr>
        <w:spacing w:line="360" w:lineRule="auto"/>
        <w:ind w:firstLine="560" w:firstLineChars="200"/>
        <w:outlineLvl w:val="0"/>
        <w:rPr>
          <w:rFonts w:hint="eastAsia" w:ascii="仿宋" w:hAnsi="仿宋" w:eastAsia="仿宋" w:cs="仿宋"/>
          <w:color w:val="auto"/>
          <w:sz w:val="28"/>
          <w:szCs w:val="28"/>
        </w:rPr>
      </w:pPr>
      <w:bookmarkStart w:id="257" w:name="_Toc19529"/>
      <w:bookmarkStart w:id="258" w:name="_Toc11311"/>
      <w:bookmarkStart w:id="259" w:name="_Toc10239"/>
      <w:r>
        <w:rPr>
          <w:rFonts w:hint="eastAsia" w:ascii="仿宋" w:hAnsi="仿宋" w:eastAsia="仿宋" w:cs="仿宋"/>
          <w:color w:val="auto"/>
          <w:sz w:val="28"/>
          <w:szCs w:val="28"/>
        </w:rPr>
        <w:t>二、</w:t>
      </w:r>
      <w:bookmarkEnd w:id="257"/>
      <w:bookmarkEnd w:id="258"/>
      <w:bookmarkEnd w:id="259"/>
      <w:bookmarkStart w:id="260" w:name="_Toc3185"/>
      <w:bookmarkStart w:id="261" w:name="_Toc27436"/>
      <w:bookmarkStart w:id="262" w:name="_Toc25656"/>
      <w:r>
        <w:rPr>
          <w:rFonts w:hint="eastAsia" w:ascii="仿宋" w:hAnsi="仿宋" w:eastAsia="仿宋" w:cs="仿宋"/>
          <w:color w:val="auto"/>
          <w:sz w:val="28"/>
          <w:szCs w:val="28"/>
        </w:rPr>
        <w:t>商务文件</w:t>
      </w:r>
      <w:bookmarkEnd w:id="260"/>
      <w:bookmarkEnd w:id="261"/>
      <w:bookmarkEnd w:id="262"/>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（一）投标函（格式）</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（二）商务条款差异表</w:t>
      </w:r>
    </w:p>
    <w:p>
      <w:pPr>
        <w:spacing w:line="360" w:lineRule="auto"/>
        <w:ind w:firstLine="560" w:firstLineChars="200"/>
        <w:outlineLvl w:val="0"/>
        <w:rPr>
          <w:rFonts w:hint="eastAsia" w:ascii="仿宋" w:hAnsi="仿宋" w:eastAsia="仿宋" w:cs="仿宋"/>
          <w:color w:val="auto"/>
          <w:sz w:val="28"/>
          <w:szCs w:val="28"/>
        </w:rPr>
      </w:pPr>
      <w:r>
        <w:rPr>
          <w:rFonts w:hint="eastAsia" w:ascii="仿宋" w:hAnsi="仿宋" w:eastAsia="仿宋" w:cs="仿宋"/>
          <w:color w:val="auto"/>
          <w:sz w:val="28"/>
          <w:szCs w:val="28"/>
        </w:rPr>
        <w:t>（三）其他商务资料</w:t>
      </w:r>
    </w:p>
    <w:p>
      <w:pPr>
        <w:spacing w:line="360" w:lineRule="auto"/>
        <w:ind w:firstLine="560" w:firstLineChars="200"/>
        <w:outlineLvl w:val="0"/>
        <w:rPr>
          <w:rFonts w:hint="eastAsia" w:ascii="仿宋" w:hAnsi="仿宋" w:eastAsia="仿宋" w:cs="仿宋"/>
          <w:color w:val="auto"/>
          <w:sz w:val="28"/>
          <w:szCs w:val="28"/>
        </w:rPr>
      </w:pPr>
      <w:r>
        <w:rPr>
          <w:rFonts w:hint="eastAsia" w:ascii="仿宋" w:hAnsi="仿宋" w:eastAsia="仿宋" w:cs="仿宋"/>
          <w:color w:val="auto"/>
          <w:sz w:val="28"/>
          <w:szCs w:val="28"/>
        </w:rPr>
        <w:t>三、资格文件</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（一）法人营业执照（副本）或事业单位法人证书（副本）或个体工商户营业执照或有效的自然人身份证明或社会团体法人登记证书复印件</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（二）法定代表人身份证明书</w:t>
      </w:r>
      <w:r>
        <w:rPr>
          <w:rFonts w:hint="eastAsia" w:ascii="仿宋" w:hAnsi="仿宋" w:eastAsia="仿宋" w:cs="仿宋"/>
          <w:color w:val="auto"/>
          <w:sz w:val="28"/>
          <w:szCs w:val="28"/>
          <w:lang w:eastAsia="zh-CN"/>
        </w:rPr>
        <w:t>及</w:t>
      </w:r>
      <w:r>
        <w:rPr>
          <w:rFonts w:hint="eastAsia" w:ascii="仿宋" w:hAnsi="仿宋" w:eastAsia="仿宋" w:cs="仿宋"/>
          <w:color w:val="auto"/>
          <w:sz w:val="28"/>
          <w:szCs w:val="28"/>
        </w:rPr>
        <w:t>法定代表人授权委托书（格式）</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）基本资格条件承诺函</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）特定资格条件证书或</w:t>
      </w:r>
      <w:r>
        <w:rPr>
          <w:rFonts w:hint="eastAsia" w:ascii="仿宋" w:hAnsi="仿宋" w:eastAsia="仿宋" w:cs="仿宋"/>
          <w:color w:val="auto"/>
          <w:sz w:val="28"/>
          <w:szCs w:val="28"/>
          <w:lang w:eastAsia="zh-CN"/>
        </w:rPr>
        <w:t>其他</w:t>
      </w:r>
      <w:r>
        <w:rPr>
          <w:rFonts w:hint="eastAsia" w:ascii="仿宋" w:hAnsi="仿宋" w:eastAsia="仿宋" w:cs="仿宋"/>
          <w:color w:val="auto"/>
          <w:sz w:val="28"/>
          <w:szCs w:val="28"/>
        </w:rPr>
        <w:t>证明文件</w:t>
      </w:r>
      <w:r>
        <w:rPr>
          <w:rFonts w:hint="eastAsia" w:ascii="仿宋" w:hAnsi="仿宋" w:eastAsia="仿宋" w:cs="仿宋"/>
          <w:color w:val="auto"/>
          <w:sz w:val="28"/>
          <w:szCs w:val="28"/>
          <w:lang w:eastAsia="zh-CN"/>
        </w:rPr>
        <w:t>（如果有）</w:t>
      </w:r>
    </w:p>
    <w:p>
      <w:pPr>
        <w:spacing w:line="360" w:lineRule="auto"/>
        <w:ind w:firstLine="560" w:firstLineChars="200"/>
        <w:outlineLvl w:val="0"/>
        <w:rPr>
          <w:rFonts w:hint="eastAsia" w:ascii="仿宋" w:hAnsi="仿宋" w:eastAsia="仿宋" w:cs="仿宋"/>
          <w:color w:val="auto"/>
          <w:sz w:val="28"/>
          <w:szCs w:val="28"/>
        </w:rPr>
      </w:pPr>
      <w:bookmarkStart w:id="263" w:name="_Toc8057"/>
      <w:bookmarkStart w:id="264" w:name="_Toc5543"/>
      <w:bookmarkStart w:id="265" w:name="_Toc24652"/>
      <w:r>
        <w:rPr>
          <w:rFonts w:hint="eastAsia" w:ascii="仿宋" w:hAnsi="仿宋" w:eastAsia="仿宋" w:cs="仿宋"/>
          <w:color w:val="auto"/>
          <w:sz w:val="28"/>
          <w:szCs w:val="28"/>
        </w:rPr>
        <w:t>四、技术文件</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（一）</w:t>
      </w:r>
      <w:r>
        <w:rPr>
          <w:rFonts w:hint="eastAsia" w:ascii="仿宋" w:hAnsi="仿宋" w:eastAsia="仿宋" w:cs="仿宋"/>
          <w:color w:val="auto"/>
          <w:sz w:val="28"/>
          <w:szCs w:val="28"/>
          <w:lang w:eastAsia="zh-CN"/>
        </w:rPr>
        <w:t>供货服务方案（格式自拟）</w:t>
      </w:r>
    </w:p>
    <w:p>
      <w:pPr>
        <w:spacing w:line="360" w:lineRule="auto"/>
        <w:ind w:firstLine="560" w:firstLineChars="200"/>
        <w:outlineLvl w:val="0"/>
        <w:rPr>
          <w:rFonts w:hint="eastAsia" w:ascii="仿宋" w:hAnsi="仿宋" w:eastAsia="仿宋" w:cs="仿宋"/>
          <w:color w:val="auto"/>
          <w:sz w:val="28"/>
          <w:szCs w:val="28"/>
        </w:rPr>
      </w:pPr>
      <w:r>
        <w:rPr>
          <w:rFonts w:hint="eastAsia" w:ascii="仿宋" w:hAnsi="仿宋" w:eastAsia="仿宋" w:cs="仿宋"/>
          <w:color w:val="auto"/>
          <w:sz w:val="28"/>
          <w:szCs w:val="28"/>
        </w:rPr>
        <w:t>五、其他</w:t>
      </w:r>
      <w:bookmarkEnd w:id="263"/>
      <w:bookmarkEnd w:id="264"/>
      <w:bookmarkEnd w:id="265"/>
    </w:p>
    <w:p>
      <w:pPr>
        <w:snapToGrid w:val="0"/>
        <w:spacing w:line="360" w:lineRule="auto"/>
        <w:ind w:firstLine="560" w:firstLineChars="200"/>
        <w:outlineLvl w:val="1"/>
        <w:rPr>
          <w:rFonts w:hint="eastAsia" w:ascii="仿宋" w:hAnsi="仿宋" w:eastAsia="仿宋" w:cs="仿宋"/>
          <w:color w:val="auto"/>
          <w:sz w:val="28"/>
          <w:szCs w:val="28"/>
        </w:rPr>
      </w:pPr>
      <w:bookmarkStart w:id="266" w:name="_Toc15863"/>
      <w:r>
        <w:rPr>
          <w:rFonts w:hint="eastAsia" w:ascii="仿宋" w:hAnsi="仿宋" w:eastAsia="仿宋" w:cs="仿宋"/>
          <w:color w:val="auto"/>
          <w:sz w:val="28"/>
          <w:szCs w:val="28"/>
        </w:rPr>
        <w:t>其他与项目有关的资料（自附）</w:t>
      </w:r>
      <w:bookmarkEnd w:id="266"/>
    </w:p>
    <w:bookmarkEnd w:id="254"/>
    <w:p>
      <w:pPr>
        <w:pStyle w:val="4"/>
        <w:spacing w:line="240" w:lineRule="auto"/>
        <w:ind w:left="0" w:leftChars="0" w:firstLine="0" w:firstLineChars="0"/>
        <w:outlineLvl w:val="0"/>
        <w:rPr>
          <w:rFonts w:hint="eastAsia" w:ascii="仿宋" w:hAnsi="仿宋" w:eastAsia="仿宋" w:cs="仿宋"/>
          <w:b/>
          <w:bCs/>
          <w:color w:val="auto"/>
          <w:kern w:val="2"/>
          <w:sz w:val="36"/>
          <w:szCs w:val="36"/>
          <w:lang w:val="en-US" w:eastAsia="zh-CN" w:bidi="ar-SA"/>
        </w:rPr>
      </w:pPr>
      <w:bookmarkStart w:id="267" w:name="_Toc423596072"/>
      <w:bookmarkStart w:id="268" w:name="_Toc429558996"/>
      <w:bookmarkStart w:id="269" w:name="_Toc316375214"/>
      <w:bookmarkStart w:id="270" w:name="_Toc277084874"/>
      <w:bookmarkStart w:id="271" w:name="_Toc297020926"/>
      <w:bookmarkStart w:id="272" w:name="_Toc315942083"/>
      <w:bookmarkStart w:id="273" w:name="_Toc285722716"/>
      <w:bookmarkStart w:id="274" w:name="_Toc315941084"/>
      <w:r>
        <w:rPr>
          <w:rFonts w:hint="eastAsia" w:ascii="仿宋" w:hAnsi="仿宋" w:eastAsia="仿宋" w:cs="仿宋"/>
          <w:color w:val="auto"/>
          <w:sz w:val="30"/>
          <w:szCs w:val="30"/>
        </w:rPr>
        <w:br w:type="page"/>
      </w:r>
      <w:bookmarkEnd w:id="255"/>
      <w:bookmarkStart w:id="275" w:name="_Toc26437"/>
      <w:r>
        <w:rPr>
          <w:rFonts w:hint="eastAsia" w:ascii="仿宋" w:hAnsi="仿宋" w:eastAsia="仿宋" w:cs="仿宋"/>
          <w:b/>
          <w:bCs/>
          <w:color w:val="auto"/>
          <w:kern w:val="2"/>
          <w:sz w:val="36"/>
          <w:szCs w:val="36"/>
          <w:lang w:val="en-US" w:eastAsia="zh-CN" w:bidi="ar-SA"/>
        </w:rPr>
        <w:t xml:space="preserve">  </w:t>
      </w:r>
      <w:bookmarkStart w:id="276" w:name="_Toc16083"/>
      <w:bookmarkStart w:id="277" w:name="_Toc1414"/>
      <w:bookmarkStart w:id="278" w:name="_Toc19147"/>
      <w:r>
        <w:rPr>
          <w:rFonts w:hint="eastAsia" w:ascii="仿宋" w:hAnsi="仿宋" w:eastAsia="仿宋" w:cs="仿宋"/>
          <w:b/>
          <w:bCs/>
          <w:color w:val="auto"/>
          <w:kern w:val="2"/>
          <w:sz w:val="36"/>
          <w:szCs w:val="36"/>
          <w:lang w:val="en-US" w:eastAsia="zh-CN" w:bidi="ar-SA"/>
        </w:rPr>
        <w:t>一、经济文件</w:t>
      </w:r>
      <w:bookmarkEnd w:id="267"/>
      <w:bookmarkEnd w:id="268"/>
      <w:bookmarkEnd w:id="269"/>
      <w:bookmarkEnd w:id="270"/>
      <w:bookmarkEnd w:id="271"/>
      <w:bookmarkEnd w:id="272"/>
      <w:bookmarkEnd w:id="273"/>
      <w:bookmarkEnd w:id="274"/>
      <w:bookmarkEnd w:id="275"/>
      <w:bookmarkEnd w:id="276"/>
      <w:bookmarkEnd w:id="277"/>
      <w:bookmarkEnd w:id="278"/>
    </w:p>
    <w:p>
      <w:pPr>
        <w:jc w:val="center"/>
        <w:outlineLvl w:val="1"/>
        <w:rPr>
          <w:rFonts w:hint="eastAsia" w:ascii="仿宋" w:hAnsi="仿宋" w:eastAsia="仿宋" w:cs="仿宋"/>
          <w:color w:val="auto"/>
          <w:sz w:val="36"/>
          <w:szCs w:val="36"/>
        </w:rPr>
      </w:pPr>
      <w:bookmarkStart w:id="279" w:name="_Toc30565"/>
      <w:r>
        <w:rPr>
          <w:rFonts w:hint="eastAsia" w:ascii="仿宋" w:hAnsi="仿宋" w:eastAsia="仿宋" w:cs="仿宋"/>
          <w:color w:val="auto"/>
          <w:sz w:val="36"/>
          <w:szCs w:val="36"/>
        </w:rPr>
        <w:t>（一）开标一览表</w:t>
      </w:r>
      <w:bookmarkEnd w:id="279"/>
    </w:p>
    <w:p>
      <w:pPr>
        <w:rPr>
          <w:rFonts w:hint="eastAsia" w:ascii="仿宋" w:hAnsi="仿宋" w:eastAsia="仿宋" w:cs="仿宋"/>
          <w:color w:val="auto"/>
          <w:sz w:val="30"/>
          <w:szCs w:val="30"/>
        </w:rPr>
      </w:pPr>
    </w:p>
    <w:tbl>
      <w:tblPr>
        <w:tblStyle w:val="5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651"/>
        <w:gridCol w:w="1793"/>
        <w:gridCol w:w="1609"/>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p>
        </w:tc>
        <w:tc>
          <w:tcPr>
            <w:tcW w:w="7568" w:type="dxa"/>
            <w:gridSpan w:val="4"/>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3439"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招标项目名称</w:t>
            </w:r>
            <w:r>
              <w:rPr>
                <w:rFonts w:hint="eastAsia" w:ascii="仿宋" w:hAnsi="仿宋" w:eastAsia="仿宋" w:cs="仿宋"/>
                <w:color w:val="auto"/>
                <w:sz w:val="24"/>
                <w:szCs w:val="24"/>
              </w:rPr>
              <w:t>：</w:t>
            </w:r>
          </w:p>
        </w:tc>
        <w:tc>
          <w:tcPr>
            <w:tcW w:w="179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609" w:type="dxa"/>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单位</w:t>
            </w:r>
          </w:p>
        </w:tc>
        <w:tc>
          <w:tcPr>
            <w:tcW w:w="251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总</w:t>
            </w:r>
            <w:r>
              <w:rPr>
                <w:rFonts w:hint="eastAsia" w:ascii="仿宋" w:hAnsi="仿宋" w:eastAsia="仿宋" w:cs="仿宋"/>
                <w:color w:val="auto"/>
                <w:sz w:val="24"/>
                <w:szCs w:val="24"/>
              </w:rPr>
              <w:t>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6" w:hRule="atLeast"/>
        </w:trPr>
        <w:tc>
          <w:tcPr>
            <w:tcW w:w="3439" w:type="dxa"/>
            <w:gridSpan w:val="2"/>
            <w:tcBorders>
              <w:bottom w:val="single" w:color="auto" w:sz="4" w:space="0"/>
            </w:tcBorders>
            <w:noWrap w:val="0"/>
            <w:vAlign w:val="center"/>
          </w:tcPr>
          <w:p>
            <w:pPr>
              <w:jc w:val="center"/>
              <w:rPr>
                <w:rFonts w:hint="eastAsia" w:ascii="仿宋" w:hAnsi="仿宋" w:eastAsia="仿宋" w:cs="仿宋"/>
                <w:color w:val="auto"/>
                <w:sz w:val="24"/>
                <w:szCs w:val="24"/>
              </w:rPr>
            </w:pPr>
          </w:p>
        </w:tc>
        <w:tc>
          <w:tcPr>
            <w:tcW w:w="1793" w:type="dxa"/>
            <w:tcBorders>
              <w:bottom w:val="single" w:color="auto" w:sz="4" w:space="0"/>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609" w:type="dxa"/>
            <w:tcBorders>
              <w:bottom w:val="single" w:color="auto" w:sz="4" w:space="0"/>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批</w:t>
            </w:r>
          </w:p>
        </w:tc>
        <w:tc>
          <w:tcPr>
            <w:tcW w:w="2515" w:type="dxa"/>
            <w:tcBorders>
              <w:bottom w:val="single" w:color="auto" w:sz="4" w:space="0"/>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9356" w:type="dxa"/>
            <w:gridSpan w:val="5"/>
            <w:tcBorders>
              <w:bottom w:val="single" w:color="auto" w:sz="4" w:space="0"/>
            </w:tcBorders>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总</w:t>
            </w:r>
            <w:r>
              <w:rPr>
                <w:rFonts w:hint="eastAsia" w:ascii="仿宋" w:hAnsi="仿宋" w:eastAsia="仿宋" w:cs="仿宋"/>
                <w:color w:val="auto"/>
                <w:sz w:val="24"/>
                <w:szCs w:val="24"/>
              </w:rPr>
              <w:t>报价（大写）：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rPr>
        <w:tc>
          <w:tcPr>
            <w:tcW w:w="9356" w:type="dxa"/>
            <w:gridSpan w:val="5"/>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bl>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投标人：          法定代表人（或法定代表人授权代表）</w:t>
      </w:r>
      <w:bookmarkStart w:id="280" w:name="_Hlk104974936"/>
      <w:r>
        <w:rPr>
          <w:rFonts w:hint="eastAsia" w:ascii="仿宋" w:hAnsi="仿宋" w:eastAsia="仿宋" w:cs="仿宋"/>
          <w:color w:val="auto"/>
          <w:sz w:val="24"/>
          <w:szCs w:val="24"/>
        </w:rPr>
        <w:t>或自然人</w:t>
      </w:r>
      <w:bookmarkEnd w:id="280"/>
      <w:r>
        <w:rPr>
          <w:rFonts w:hint="eastAsia" w:ascii="仿宋" w:hAnsi="仿宋" w:eastAsia="仿宋" w:cs="仿宋"/>
          <w:color w:val="auto"/>
          <w:sz w:val="24"/>
          <w:szCs w:val="24"/>
        </w:rPr>
        <w:t>：</w:t>
      </w:r>
    </w:p>
    <w:p>
      <w:pPr>
        <w:rPr>
          <w:rFonts w:hint="eastAsia" w:ascii="仿宋" w:hAnsi="仿宋" w:eastAsia="仿宋" w:cs="仿宋"/>
          <w:color w:val="auto"/>
          <w:sz w:val="24"/>
          <w:szCs w:val="24"/>
        </w:rPr>
      </w:pPr>
      <w:r>
        <w:rPr>
          <w:rFonts w:hint="eastAsia" w:ascii="仿宋" w:hAnsi="仿宋" w:eastAsia="仿宋" w:cs="仿宋"/>
          <w:color w:val="auto"/>
          <w:sz w:val="24"/>
          <w:szCs w:val="24"/>
        </w:rPr>
        <w:t>（投标人公章）                     （签署或盖章）</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ind w:firstLine="482" w:firstLineChars="200"/>
        <w:rPr>
          <w:rFonts w:hint="eastAsia" w:ascii="仿宋" w:hAnsi="仿宋" w:eastAsia="仿宋" w:cs="仿宋"/>
          <w:b/>
          <w:color w:val="auto"/>
          <w:sz w:val="24"/>
          <w:szCs w:val="24"/>
        </w:rPr>
      </w:pPr>
      <w:bookmarkStart w:id="281" w:name="_Hlk104974966"/>
      <w:r>
        <w:rPr>
          <w:rFonts w:hint="eastAsia" w:ascii="仿宋" w:hAnsi="仿宋" w:eastAsia="仿宋" w:cs="仿宋"/>
          <w:b/>
          <w:color w:val="auto"/>
          <w:sz w:val="24"/>
          <w:szCs w:val="24"/>
        </w:rPr>
        <w:t>说明：</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1、开标一览表按格式填列；</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2、开标一览表在开标大会上当众宣读，务必填写清楚，准确无误；</w:t>
      </w:r>
    </w:p>
    <w:bookmarkEnd w:id="281"/>
    <w:p>
      <w:pPr>
        <w:snapToGrid w:val="0"/>
        <w:spacing w:line="400" w:lineRule="exact"/>
        <w:ind w:firstLine="600" w:firstLineChars="200"/>
        <w:outlineLvl w:val="9"/>
        <w:rPr>
          <w:rFonts w:hint="eastAsia" w:ascii="仿宋" w:hAnsi="仿宋" w:eastAsia="仿宋" w:cs="仿宋"/>
          <w:color w:val="auto"/>
          <w:sz w:val="30"/>
          <w:szCs w:val="30"/>
        </w:rPr>
        <w:sectPr>
          <w:pgSz w:w="11907" w:h="16840"/>
          <w:pgMar w:top="1418" w:right="1247" w:bottom="1332" w:left="1276" w:header="964" w:footer="992" w:gutter="0"/>
          <w:pgNumType w:fmt="decimal"/>
          <w:cols w:space="720" w:num="1"/>
          <w:docGrid w:linePitch="380" w:charSpace="-5735"/>
        </w:sectPr>
      </w:pPr>
      <w:bookmarkStart w:id="282" w:name="_Toc2671"/>
    </w:p>
    <w:p>
      <w:pPr>
        <w:snapToGrid w:val="0"/>
        <w:spacing w:line="400" w:lineRule="exact"/>
        <w:ind w:firstLine="600" w:firstLineChars="200"/>
        <w:jc w:val="center"/>
        <w:outlineLvl w:val="1"/>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（二）</w:t>
      </w:r>
      <w:bookmarkEnd w:id="282"/>
      <w:r>
        <w:rPr>
          <w:rFonts w:hint="eastAsia" w:ascii="仿宋" w:hAnsi="仿宋" w:eastAsia="仿宋" w:cs="仿宋"/>
          <w:color w:val="auto"/>
          <w:sz w:val="30"/>
          <w:szCs w:val="30"/>
          <w:lang w:eastAsia="zh-CN"/>
        </w:rPr>
        <w:t>已标价的工程量清单报价表</w:t>
      </w:r>
    </w:p>
    <w:p>
      <w:pPr>
        <w:snapToGrid w:val="0"/>
        <w:spacing w:line="360" w:lineRule="auto"/>
        <w:ind w:left="70" w:leftChars="25" w:firstLine="362" w:firstLineChars="151"/>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招标项目名称：                              </w:t>
      </w:r>
      <w:r>
        <w:rPr>
          <w:rFonts w:hint="eastAsia" w:ascii="仿宋" w:hAnsi="仿宋" w:eastAsia="仿宋" w:cs="仿宋"/>
          <w:color w:val="auto"/>
          <w:sz w:val="24"/>
          <w:szCs w:val="24"/>
          <w:lang w:val="en-US" w:eastAsia="zh-CN"/>
        </w:rPr>
        <w:t xml:space="preserve"> </w:t>
      </w:r>
    </w:p>
    <w:tbl>
      <w:tblPr>
        <w:tblStyle w:val="58"/>
        <w:tblW w:w="141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3609"/>
        <w:gridCol w:w="1774"/>
        <w:gridCol w:w="821"/>
        <w:gridCol w:w="1685"/>
        <w:gridCol w:w="1904"/>
        <w:gridCol w:w="2550"/>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8" w:hRule="atLeast"/>
        </w:trPr>
        <w:tc>
          <w:tcPr>
            <w:tcW w:w="141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酉阳县菖蒲花田农旅融合示范项目-基础设施工程（给水工程）木材等材料采购</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已标价的工程量清单报价表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3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  称</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型号规格</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 位</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投标单价报价（元）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合价（元）</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3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3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0"/>
                <w:szCs w:val="20"/>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3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0"/>
                <w:szCs w:val="20"/>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w:t>
            </w:r>
          </w:p>
        </w:tc>
        <w:tc>
          <w:tcPr>
            <w:tcW w:w="3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0"/>
                <w:szCs w:val="20"/>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w:t>
            </w:r>
          </w:p>
        </w:tc>
        <w:tc>
          <w:tcPr>
            <w:tcW w:w="97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投标总报价（元）</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 xml:space="preserve"> </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11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bl>
    <w:p>
      <w:pPr>
        <w:spacing w:line="360" w:lineRule="auto"/>
        <w:ind w:left="280" w:leftChars="100" w:firstLine="600" w:firstLineChars="250"/>
        <w:rPr>
          <w:rFonts w:hint="eastAsia" w:ascii="仿宋" w:hAnsi="仿宋" w:eastAsia="仿宋" w:cs="仿宋"/>
          <w:color w:val="auto"/>
          <w:sz w:val="24"/>
          <w:szCs w:val="24"/>
        </w:rPr>
      </w:pPr>
    </w:p>
    <w:p>
      <w:pPr>
        <w:spacing w:line="360" w:lineRule="auto"/>
        <w:ind w:left="280" w:leftChars="100"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投标人：</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法定代表人（或法定代表人授权代表）或自然人：  </w:t>
      </w:r>
    </w:p>
    <w:p>
      <w:pPr>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                                  </w:t>
      </w:r>
      <w:bookmarkStart w:id="283" w:name="_Hlk106116397"/>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（签署或盖章）</w:t>
      </w:r>
      <w:bookmarkEnd w:id="283"/>
      <w:r>
        <w:rPr>
          <w:rFonts w:hint="eastAsia" w:ascii="仿宋" w:hAnsi="仿宋" w:eastAsia="仿宋" w:cs="仿宋"/>
          <w:color w:val="auto"/>
          <w:sz w:val="24"/>
          <w:szCs w:val="24"/>
        </w:rPr>
        <w:t xml:space="preserve"> </w:t>
      </w:r>
    </w:p>
    <w:p>
      <w:pPr>
        <w:snapToGrid w:val="0"/>
        <w:spacing w:line="500" w:lineRule="exact"/>
        <w:ind w:firstLine="480" w:firstLineChars="20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snapToGrid w:val="0"/>
        <w:spacing w:line="5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注：</w:t>
      </w:r>
    </w:p>
    <w:p>
      <w:pPr>
        <w:snapToGrid w:val="0"/>
        <w:spacing w:line="24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1．请投标人完整填写本表；</w:t>
      </w:r>
    </w:p>
    <w:p>
      <w:pPr>
        <w:snapToGrid w:val="0"/>
        <w:spacing w:line="240" w:lineRule="auto"/>
        <w:ind w:firstLine="480" w:firstLineChars="200"/>
        <w:rPr>
          <w:rFonts w:hint="eastAsia" w:ascii="仿宋" w:hAnsi="仿宋" w:eastAsia="仿宋" w:cs="仿宋"/>
          <w:color w:val="auto"/>
          <w:sz w:val="30"/>
          <w:szCs w:val="30"/>
        </w:rPr>
        <w:sectPr>
          <w:pgSz w:w="16840" w:h="11907" w:orient="landscape"/>
          <w:pgMar w:top="1276" w:right="1418" w:bottom="1247" w:left="1332" w:header="964" w:footer="992" w:gutter="0"/>
          <w:pgNumType w:fmt="decimal"/>
          <w:cols w:space="720" w:num="1"/>
          <w:docGrid w:linePitch="380" w:charSpace="-5735"/>
        </w:sectPr>
      </w:pPr>
      <w:r>
        <w:rPr>
          <w:rFonts w:hint="eastAsia" w:ascii="仿宋" w:hAnsi="仿宋" w:eastAsia="仿宋" w:cs="仿宋"/>
          <w:color w:val="auto"/>
          <w:sz w:val="24"/>
          <w:szCs w:val="24"/>
        </w:rPr>
        <w:t>2．该表可扩展</w:t>
      </w:r>
      <w:r>
        <w:rPr>
          <w:rFonts w:hint="eastAsia" w:ascii="仿宋" w:hAnsi="仿宋" w:eastAsia="仿宋" w:cs="仿宋"/>
          <w:color w:val="auto"/>
          <w:sz w:val="24"/>
          <w:szCs w:val="24"/>
          <w:lang w:eastAsia="zh-CN"/>
        </w:rPr>
        <w:t>，需每页盖章</w:t>
      </w:r>
      <w:r>
        <w:rPr>
          <w:rFonts w:hint="eastAsia" w:ascii="仿宋" w:hAnsi="仿宋" w:eastAsia="仿宋" w:cs="仿宋"/>
          <w:color w:val="auto"/>
          <w:sz w:val="30"/>
          <w:szCs w:val="30"/>
        </w:rPr>
        <w:t>。</w:t>
      </w:r>
    </w:p>
    <w:p>
      <w:pPr>
        <w:pStyle w:val="4"/>
        <w:bidi w:val="0"/>
        <w:jc w:val="center"/>
        <w:outlineLvl w:val="0"/>
        <w:rPr>
          <w:rFonts w:hint="eastAsia" w:ascii="仿宋" w:hAnsi="仿宋" w:eastAsia="仿宋" w:cs="仿宋"/>
          <w:b/>
          <w:bCs/>
          <w:color w:val="auto"/>
          <w:kern w:val="2"/>
          <w:sz w:val="36"/>
          <w:szCs w:val="36"/>
          <w:lang w:val="en-US" w:eastAsia="zh-CN" w:bidi="ar-SA"/>
        </w:rPr>
      </w:pPr>
      <w:bookmarkStart w:id="284" w:name="_Toc313883490"/>
      <w:bookmarkStart w:id="285" w:name="_Hlk104800671"/>
      <w:bookmarkStart w:id="286" w:name="_Toc322965783"/>
      <w:bookmarkStart w:id="287" w:name="_Toc429559009"/>
      <w:bookmarkStart w:id="288" w:name="_Toc15501"/>
      <w:bookmarkStart w:id="289" w:name="_Toc316479515"/>
      <w:bookmarkStart w:id="290" w:name="_Toc423596073"/>
      <w:bookmarkStart w:id="291" w:name="_Hlk104975112"/>
      <w:r>
        <w:rPr>
          <w:rFonts w:hint="eastAsia" w:ascii="仿宋" w:hAnsi="仿宋" w:eastAsia="仿宋" w:cs="仿宋"/>
          <w:b/>
          <w:bCs/>
          <w:color w:val="auto"/>
          <w:kern w:val="2"/>
          <w:sz w:val="36"/>
          <w:szCs w:val="36"/>
          <w:lang w:val="en-US" w:eastAsia="zh-CN" w:bidi="ar-SA"/>
        </w:rPr>
        <w:t xml:space="preserve">  </w:t>
      </w:r>
      <w:bookmarkStart w:id="292" w:name="_Toc19792"/>
      <w:bookmarkStart w:id="293" w:name="_Toc4229"/>
      <w:bookmarkStart w:id="294" w:name="_Toc5428"/>
      <w:r>
        <w:rPr>
          <w:rFonts w:hint="eastAsia" w:ascii="仿宋" w:hAnsi="仿宋" w:eastAsia="仿宋" w:cs="仿宋"/>
          <w:b/>
          <w:bCs/>
          <w:color w:val="auto"/>
          <w:kern w:val="2"/>
          <w:sz w:val="36"/>
          <w:szCs w:val="36"/>
          <w:lang w:val="en-US" w:eastAsia="zh-CN" w:bidi="ar-SA"/>
        </w:rPr>
        <w:t>二、</w:t>
      </w:r>
      <w:bookmarkEnd w:id="284"/>
      <w:bookmarkEnd w:id="285"/>
      <w:bookmarkEnd w:id="286"/>
      <w:bookmarkEnd w:id="287"/>
      <w:bookmarkEnd w:id="288"/>
      <w:bookmarkEnd w:id="289"/>
      <w:bookmarkEnd w:id="290"/>
      <w:bookmarkEnd w:id="292"/>
      <w:bookmarkEnd w:id="293"/>
      <w:bookmarkEnd w:id="294"/>
      <w:bookmarkStart w:id="295" w:name="_Hlk69220950"/>
      <w:bookmarkStart w:id="296" w:name="_Toc15884"/>
      <w:bookmarkStart w:id="297" w:name="_Toc423596074"/>
      <w:bookmarkStart w:id="298" w:name="_Toc429559010"/>
      <w:bookmarkStart w:id="299" w:name="_Toc316479513"/>
      <w:bookmarkStart w:id="300" w:name="_Toc322965784"/>
      <w:bookmarkStart w:id="301" w:name="_Hlk104800452"/>
      <w:r>
        <w:rPr>
          <w:rFonts w:hint="eastAsia" w:ascii="仿宋" w:hAnsi="仿宋" w:eastAsia="仿宋" w:cs="仿宋"/>
          <w:b/>
          <w:bCs/>
          <w:color w:val="auto"/>
          <w:sz w:val="36"/>
          <w:szCs w:val="36"/>
          <w:lang w:val="en-US" w:eastAsia="zh-CN"/>
        </w:rPr>
        <w:t xml:space="preserve">  </w:t>
      </w:r>
      <w:bookmarkEnd w:id="295"/>
      <w:bookmarkEnd w:id="296"/>
      <w:bookmarkStart w:id="302" w:name="_Toc3942"/>
      <w:bookmarkStart w:id="303" w:name="_Toc28864"/>
      <w:bookmarkStart w:id="304" w:name="_Toc24334"/>
      <w:bookmarkStart w:id="305" w:name="_Toc12288"/>
      <w:r>
        <w:rPr>
          <w:rFonts w:hint="eastAsia" w:ascii="仿宋" w:hAnsi="仿宋" w:eastAsia="仿宋" w:cs="仿宋"/>
          <w:b/>
          <w:bCs/>
          <w:color w:val="auto"/>
          <w:kern w:val="2"/>
          <w:sz w:val="36"/>
          <w:szCs w:val="36"/>
          <w:lang w:val="en-US" w:eastAsia="zh-CN" w:bidi="ar-SA"/>
        </w:rPr>
        <w:t>商务文件</w:t>
      </w:r>
      <w:bookmarkEnd w:id="297"/>
      <w:bookmarkEnd w:id="298"/>
      <w:bookmarkEnd w:id="299"/>
      <w:bookmarkEnd w:id="300"/>
      <w:bookmarkEnd w:id="302"/>
      <w:bookmarkEnd w:id="303"/>
      <w:bookmarkEnd w:id="304"/>
      <w:bookmarkEnd w:id="305"/>
    </w:p>
    <w:p>
      <w:pPr>
        <w:spacing w:line="360" w:lineRule="auto"/>
        <w:jc w:val="center"/>
        <w:outlineLvl w:val="1"/>
        <w:rPr>
          <w:rFonts w:hint="eastAsia" w:ascii="仿宋" w:hAnsi="仿宋" w:eastAsia="仿宋" w:cs="仿宋"/>
          <w:color w:val="auto"/>
          <w:sz w:val="24"/>
          <w:szCs w:val="24"/>
        </w:rPr>
      </w:pPr>
      <w:bookmarkStart w:id="306" w:name="_Toc9121"/>
      <w:r>
        <w:rPr>
          <w:rFonts w:hint="eastAsia" w:ascii="仿宋" w:hAnsi="仿宋" w:eastAsia="仿宋" w:cs="仿宋"/>
          <w:color w:val="auto"/>
          <w:sz w:val="24"/>
          <w:szCs w:val="24"/>
        </w:rPr>
        <w:t>（一）投标函（格式）</w:t>
      </w:r>
      <w:bookmarkEnd w:id="306"/>
    </w:p>
    <w:p>
      <w:pPr>
        <w:spacing w:line="360" w:lineRule="auto"/>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招标</w:t>
      </w: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名称）：</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（投标人名称）系中华人民共和国合法企业，注册地址：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。我方就参加本次投标有关事项郑重声明如下：</w:t>
      </w:r>
    </w:p>
    <w:p>
      <w:pPr>
        <w:tabs>
          <w:tab w:val="left" w:pos="6300"/>
        </w:tabs>
        <w:snapToGrid w:val="0"/>
        <w:spacing w:line="360" w:lineRule="auto"/>
        <w:ind w:firstLine="480" w:firstLineChars="200"/>
        <w:outlineLvl w:val="0"/>
        <w:rPr>
          <w:rFonts w:hint="eastAsia" w:ascii="仿宋" w:hAnsi="仿宋" w:eastAsia="仿宋" w:cs="仿宋"/>
          <w:color w:val="auto"/>
          <w:sz w:val="24"/>
          <w:szCs w:val="24"/>
        </w:rPr>
      </w:pPr>
      <w:bookmarkStart w:id="307" w:name="_Toc12794"/>
      <w:bookmarkStart w:id="308" w:name="_Toc31834"/>
      <w:bookmarkStart w:id="309" w:name="_Toc2874"/>
      <w:bookmarkStart w:id="310" w:name="_Toc20366"/>
      <w:r>
        <w:rPr>
          <w:rFonts w:hint="eastAsia" w:ascii="仿宋" w:hAnsi="仿宋" w:eastAsia="仿宋" w:cs="仿宋"/>
          <w:color w:val="auto"/>
          <w:sz w:val="24"/>
          <w:szCs w:val="24"/>
        </w:rPr>
        <w:t>一、我方完全理解并接受该项目招标文件所有要求。</w:t>
      </w:r>
      <w:bookmarkEnd w:id="307"/>
      <w:bookmarkEnd w:id="308"/>
      <w:bookmarkEnd w:id="309"/>
      <w:bookmarkEnd w:id="310"/>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二、我方提交的所有投标文件、资料都是准确和真实的，如有虚假或隐瞒，我方愿意承担一切法律责任。</w:t>
      </w:r>
    </w:p>
    <w:p>
      <w:pPr>
        <w:tabs>
          <w:tab w:val="left" w:pos="6300"/>
        </w:tabs>
        <w:snapToGrid w:val="0"/>
        <w:spacing w:line="360" w:lineRule="auto"/>
        <w:ind w:firstLine="480" w:firstLineChars="200"/>
        <w:outlineLvl w:val="0"/>
        <w:rPr>
          <w:rFonts w:hint="eastAsia" w:ascii="仿宋" w:hAnsi="仿宋" w:eastAsia="仿宋" w:cs="仿宋"/>
          <w:color w:val="auto"/>
          <w:sz w:val="24"/>
          <w:szCs w:val="24"/>
        </w:rPr>
      </w:pPr>
      <w:bookmarkStart w:id="311" w:name="_Toc13581"/>
      <w:bookmarkStart w:id="312" w:name="_Toc27374"/>
      <w:bookmarkStart w:id="313" w:name="_Toc10401"/>
      <w:bookmarkStart w:id="314" w:name="_Toc20975"/>
      <w:r>
        <w:rPr>
          <w:rFonts w:hint="eastAsia" w:ascii="仿宋" w:hAnsi="仿宋" w:eastAsia="仿宋" w:cs="仿宋"/>
          <w:color w:val="auto"/>
          <w:sz w:val="24"/>
          <w:szCs w:val="24"/>
        </w:rPr>
        <w:t>三、我方承诺按照招标文件要求，提供招标项目的技术服务。</w:t>
      </w:r>
      <w:bookmarkEnd w:id="311"/>
      <w:bookmarkEnd w:id="312"/>
      <w:bookmarkEnd w:id="313"/>
      <w:bookmarkEnd w:id="314"/>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四、我方按招标文件要求提交的投标文件为：</w:t>
      </w:r>
      <w:r>
        <w:rPr>
          <w:rFonts w:hint="eastAsia" w:ascii="仿宋" w:hAnsi="仿宋" w:eastAsia="仿宋" w:cs="仿宋"/>
          <w:color w:val="auto"/>
          <w:sz w:val="24"/>
          <w:szCs w:val="24"/>
          <w:highlight w:val="none"/>
        </w:rPr>
        <w:t>投标文件正本1份，副本</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rPr>
        <w:t>份。</w:t>
      </w:r>
    </w:p>
    <w:p>
      <w:pPr>
        <w:tabs>
          <w:tab w:val="left" w:pos="6300"/>
        </w:tabs>
        <w:snapToGrid w:val="0"/>
        <w:spacing w:line="360" w:lineRule="auto"/>
        <w:ind w:firstLine="480" w:firstLineChars="200"/>
        <w:outlineLvl w:val="0"/>
        <w:rPr>
          <w:rFonts w:hint="eastAsia" w:ascii="仿宋" w:hAnsi="仿宋" w:eastAsia="仿宋" w:cs="仿宋"/>
          <w:color w:val="auto"/>
          <w:sz w:val="24"/>
          <w:szCs w:val="24"/>
        </w:rPr>
      </w:pPr>
      <w:bookmarkStart w:id="315" w:name="_Toc17261"/>
      <w:bookmarkStart w:id="316" w:name="_Toc24626"/>
      <w:bookmarkStart w:id="317" w:name="_Toc27866"/>
      <w:bookmarkStart w:id="318" w:name="_Toc26958"/>
      <w:r>
        <w:rPr>
          <w:rFonts w:hint="eastAsia" w:ascii="仿宋" w:hAnsi="仿宋" w:eastAsia="仿宋" w:cs="仿宋"/>
          <w:color w:val="auto"/>
          <w:sz w:val="24"/>
          <w:szCs w:val="24"/>
        </w:rPr>
        <w:t>五、我方承诺：本次投标的投标有效期为投标截止时间起90天。</w:t>
      </w:r>
      <w:bookmarkEnd w:id="315"/>
      <w:bookmarkEnd w:id="316"/>
      <w:bookmarkEnd w:id="317"/>
      <w:bookmarkEnd w:id="318"/>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六、我方投标</w:t>
      </w:r>
      <w:r>
        <w:rPr>
          <w:rFonts w:hint="eastAsia" w:ascii="仿宋" w:hAnsi="仿宋" w:eastAsia="仿宋" w:cs="仿宋"/>
          <w:color w:val="auto"/>
          <w:sz w:val="24"/>
          <w:szCs w:val="24"/>
          <w:lang w:eastAsia="zh-CN"/>
        </w:rPr>
        <w:t>单价</w:t>
      </w:r>
      <w:r>
        <w:rPr>
          <w:rFonts w:hint="eastAsia" w:ascii="仿宋" w:hAnsi="仿宋" w:eastAsia="仿宋" w:cs="仿宋"/>
          <w:color w:val="auto"/>
          <w:sz w:val="24"/>
          <w:szCs w:val="24"/>
        </w:rPr>
        <w:t>报价为闭口价。即在投标有效期和合同有效期内，该报价固定不变。</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七、如果我方中标，我方将履行招标文件中规定的各项要求以及我方投标文件的各项承诺，按《中华人民共和国政府采购法》、</w:t>
      </w:r>
      <w:r>
        <w:rPr>
          <w:rFonts w:hint="eastAsia" w:ascii="仿宋" w:hAnsi="仿宋" w:eastAsia="仿宋" w:cs="仿宋"/>
          <w:color w:val="auto"/>
          <w:sz w:val="24"/>
          <w:szCs w:val="24"/>
          <w:lang w:eastAsia="zh-CN"/>
        </w:rPr>
        <w:t>《中华人民共和国招标投标法》、</w:t>
      </w:r>
      <w:r>
        <w:rPr>
          <w:rFonts w:hint="eastAsia" w:ascii="仿宋" w:hAnsi="仿宋" w:eastAsia="仿宋" w:cs="仿宋"/>
          <w:color w:val="auto"/>
          <w:sz w:val="24"/>
          <w:szCs w:val="24"/>
        </w:rPr>
        <w:t>《中华人民共和国民法典》及合同约定条款承担我方责任。</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八、我方理解，最低报价不是中标的唯一条件。</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九</w:t>
      </w:r>
      <w:r>
        <w:rPr>
          <w:rFonts w:hint="eastAsia" w:ascii="仿宋" w:hAnsi="仿宋" w:eastAsia="仿宋" w:cs="仿宋"/>
          <w:color w:val="auto"/>
          <w:sz w:val="24"/>
          <w:szCs w:val="24"/>
        </w:rPr>
        <w:t>、</w:t>
      </w:r>
      <w:bookmarkStart w:id="319" w:name="_Hlk104806942"/>
      <w:r>
        <w:rPr>
          <w:rFonts w:hint="eastAsia" w:ascii="仿宋" w:hAnsi="仿宋" w:eastAsia="仿宋" w:cs="仿宋"/>
          <w:color w:val="auto"/>
          <w:sz w:val="24"/>
          <w:szCs w:val="24"/>
        </w:rPr>
        <w:t>若我方中标，愿意按有关规定及招标文件要求缴纳招标代理服务费。</w:t>
      </w:r>
    </w:p>
    <w:bookmarkEnd w:id="319"/>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3480" w:firstLineChars="1450"/>
        <w:rPr>
          <w:rFonts w:hint="eastAsia" w:ascii="仿宋" w:hAnsi="仿宋" w:eastAsia="仿宋" w:cs="仿宋"/>
          <w:color w:val="auto"/>
          <w:sz w:val="24"/>
          <w:szCs w:val="24"/>
        </w:rPr>
      </w:pPr>
      <w:bookmarkStart w:id="320" w:name="_Toc161727398"/>
      <w:r>
        <w:rPr>
          <w:rFonts w:hint="eastAsia" w:ascii="仿宋" w:hAnsi="仿宋" w:eastAsia="仿宋" w:cs="仿宋"/>
          <w:color w:val="auto"/>
          <w:sz w:val="24"/>
          <w:szCs w:val="24"/>
        </w:rPr>
        <w:t>（投标人公章或自然人签署）</w:t>
      </w:r>
    </w:p>
    <w:p>
      <w:pPr>
        <w:spacing w:line="360" w:lineRule="auto"/>
        <w:ind w:left="560" w:leftChars="200" w:firstLine="4920" w:firstLineChars="2050"/>
        <w:rPr>
          <w:rFonts w:hint="eastAsia" w:ascii="仿宋" w:hAnsi="仿宋" w:eastAsia="仿宋" w:cs="仿宋"/>
          <w:color w:val="auto"/>
          <w:sz w:val="30"/>
          <w:szCs w:val="30"/>
        </w:rPr>
      </w:pPr>
      <w:r>
        <w:rPr>
          <w:rFonts w:hint="eastAsia" w:ascii="仿宋" w:hAnsi="仿宋" w:eastAsia="仿宋" w:cs="仿宋"/>
          <w:color w:val="auto"/>
          <w:sz w:val="24"/>
          <w:szCs w:val="24"/>
        </w:rPr>
        <w:t>年    月   日</w:t>
      </w:r>
      <w:r>
        <w:rPr>
          <w:rFonts w:hint="eastAsia" w:ascii="仿宋" w:hAnsi="仿宋" w:eastAsia="仿宋" w:cs="仿宋"/>
          <w:color w:val="auto"/>
          <w:szCs w:val="28"/>
        </w:rPr>
        <w:br w:type="page"/>
      </w:r>
      <w:bookmarkStart w:id="321" w:name="_Toc476231760"/>
      <w:bookmarkStart w:id="322" w:name="_Toc429559034"/>
      <w:bookmarkStart w:id="323" w:name="_Toc429560010"/>
      <w:bookmarkStart w:id="324" w:name="_Toc429553157"/>
      <w:r>
        <w:rPr>
          <w:rFonts w:hint="eastAsia" w:ascii="仿宋" w:hAnsi="仿宋" w:eastAsia="仿宋" w:cs="仿宋"/>
          <w:color w:val="auto"/>
          <w:sz w:val="30"/>
          <w:szCs w:val="30"/>
        </w:rPr>
        <w:t>（二）</w:t>
      </w:r>
      <w:bookmarkStart w:id="325" w:name="_Toc161727403"/>
      <w:r>
        <w:rPr>
          <w:rFonts w:hint="eastAsia" w:ascii="仿宋" w:hAnsi="仿宋" w:eastAsia="仿宋" w:cs="仿宋"/>
          <w:color w:val="auto"/>
          <w:sz w:val="30"/>
          <w:szCs w:val="30"/>
        </w:rPr>
        <w:t>商务条款差异表</w:t>
      </w:r>
      <w:bookmarkEnd w:id="321"/>
      <w:bookmarkEnd w:id="322"/>
      <w:bookmarkEnd w:id="323"/>
      <w:bookmarkEnd w:id="324"/>
      <w:bookmarkEnd w:id="325"/>
    </w:p>
    <w:p>
      <w:pPr>
        <w:jc w:val="center"/>
        <w:rPr>
          <w:rFonts w:hint="eastAsia" w:ascii="仿宋" w:hAnsi="仿宋" w:eastAsia="仿宋" w:cs="仿宋"/>
          <w:color w:val="auto"/>
          <w:sz w:val="30"/>
          <w:szCs w:val="30"/>
        </w:rPr>
      </w:pPr>
    </w:p>
    <w:p>
      <w:pPr>
        <w:rPr>
          <w:rFonts w:hint="eastAsia" w:ascii="仿宋" w:hAnsi="仿宋" w:eastAsia="仿宋" w:cs="仿宋"/>
          <w:color w:val="auto"/>
          <w:sz w:val="24"/>
          <w:szCs w:val="24"/>
        </w:rPr>
      </w:pPr>
      <w:bookmarkStart w:id="326" w:name="_Toc429560011"/>
      <w:bookmarkStart w:id="327" w:name="_Toc429553158"/>
      <w:bookmarkStart w:id="328" w:name="_Toc476231761"/>
      <w:bookmarkStart w:id="329" w:name="_Toc429559035"/>
      <w:r>
        <w:rPr>
          <w:rFonts w:hint="eastAsia" w:ascii="仿宋" w:hAnsi="仿宋" w:eastAsia="仿宋" w:cs="仿宋"/>
          <w:color w:val="auto"/>
          <w:sz w:val="24"/>
          <w:szCs w:val="24"/>
          <w:lang w:eastAsia="zh-CN"/>
        </w:rPr>
        <w:t>招标项目名称</w:t>
      </w:r>
      <w:r>
        <w:rPr>
          <w:rFonts w:hint="eastAsia" w:ascii="仿宋" w:hAnsi="仿宋" w:eastAsia="仿宋" w:cs="仿宋"/>
          <w:color w:val="auto"/>
          <w:sz w:val="24"/>
          <w:szCs w:val="24"/>
        </w:rPr>
        <w:t>：</w:t>
      </w:r>
      <w:bookmarkEnd w:id="326"/>
      <w:bookmarkEnd w:id="327"/>
      <w:bookmarkEnd w:id="328"/>
      <w:bookmarkEnd w:id="329"/>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119"/>
        <w:gridCol w:w="3151"/>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34" w:type="dxa"/>
            <w:noWrap w:val="0"/>
            <w:vAlign w:val="center"/>
          </w:tcPr>
          <w:p>
            <w:pPr>
              <w:jc w:val="center"/>
              <w:rPr>
                <w:rFonts w:hint="eastAsia" w:ascii="仿宋" w:hAnsi="仿宋" w:eastAsia="仿宋" w:cs="仿宋"/>
                <w:color w:val="auto"/>
                <w:sz w:val="24"/>
                <w:szCs w:val="24"/>
              </w:rPr>
            </w:pPr>
            <w:bookmarkStart w:id="330" w:name="_Toc429553159"/>
            <w:bookmarkStart w:id="331" w:name="_Toc476231762"/>
            <w:bookmarkStart w:id="332" w:name="_Toc429559036"/>
            <w:bookmarkStart w:id="333" w:name="_Toc429560012"/>
            <w:r>
              <w:rPr>
                <w:rFonts w:hint="eastAsia" w:ascii="仿宋" w:hAnsi="仿宋" w:eastAsia="仿宋" w:cs="仿宋"/>
                <w:color w:val="auto"/>
                <w:sz w:val="24"/>
                <w:szCs w:val="24"/>
              </w:rPr>
              <w:t>序号</w:t>
            </w:r>
            <w:bookmarkEnd w:id="330"/>
            <w:bookmarkEnd w:id="331"/>
            <w:bookmarkEnd w:id="332"/>
            <w:bookmarkEnd w:id="333"/>
          </w:p>
        </w:tc>
        <w:tc>
          <w:tcPr>
            <w:tcW w:w="3119" w:type="dxa"/>
            <w:noWrap w:val="0"/>
            <w:vAlign w:val="center"/>
          </w:tcPr>
          <w:p>
            <w:pPr>
              <w:jc w:val="center"/>
              <w:rPr>
                <w:rFonts w:hint="eastAsia" w:ascii="仿宋" w:hAnsi="仿宋" w:eastAsia="仿宋" w:cs="仿宋"/>
                <w:color w:val="auto"/>
                <w:sz w:val="24"/>
                <w:szCs w:val="24"/>
              </w:rPr>
            </w:pPr>
            <w:bookmarkStart w:id="334" w:name="_Toc429553160"/>
            <w:bookmarkStart w:id="335" w:name="_Toc429559037"/>
            <w:bookmarkStart w:id="336" w:name="_Toc429560013"/>
            <w:bookmarkStart w:id="337" w:name="_Toc476231763"/>
            <w:r>
              <w:rPr>
                <w:rFonts w:hint="eastAsia" w:ascii="仿宋" w:hAnsi="仿宋" w:eastAsia="仿宋" w:cs="仿宋"/>
                <w:color w:val="auto"/>
                <w:sz w:val="24"/>
                <w:szCs w:val="24"/>
              </w:rPr>
              <w:t>招标商务要求</w:t>
            </w:r>
            <w:bookmarkEnd w:id="334"/>
            <w:bookmarkEnd w:id="335"/>
            <w:bookmarkEnd w:id="336"/>
            <w:bookmarkEnd w:id="337"/>
          </w:p>
        </w:tc>
        <w:tc>
          <w:tcPr>
            <w:tcW w:w="3151" w:type="dxa"/>
            <w:noWrap w:val="0"/>
            <w:vAlign w:val="center"/>
          </w:tcPr>
          <w:p>
            <w:pPr>
              <w:jc w:val="center"/>
              <w:rPr>
                <w:rFonts w:hint="eastAsia" w:ascii="仿宋" w:hAnsi="仿宋" w:eastAsia="仿宋" w:cs="仿宋"/>
                <w:color w:val="auto"/>
                <w:sz w:val="24"/>
                <w:szCs w:val="24"/>
              </w:rPr>
            </w:pPr>
            <w:bookmarkStart w:id="338" w:name="_Toc429559038"/>
            <w:bookmarkStart w:id="339" w:name="_Toc429553161"/>
            <w:bookmarkStart w:id="340" w:name="_Toc476231764"/>
            <w:bookmarkStart w:id="341" w:name="_Toc429560014"/>
            <w:r>
              <w:rPr>
                <w:rFonts w:hint="eastAsia" w:ascii="仿宋" w:hAnsi="仿宋" w:eastAsia="仿宋" w:cs="仿宋"/>
                <w:color w:val="auto"/>
                <w:sz w:val="24"/>
                <w:szCs w:val="24"/>
              </w:rPr>
              <w:t>投标商务应答</w:t>
            </w:r>
            <w:bookmarkEnd w:id="338"/>
            <w:bookmarkEnd w:id="339"/>
            <w:bookmarkEnd w:id="340"/>
            <w:bookmarkEnd w:id="341"/>
          </w:p>
        </w:tc>
        <w:tc>
          <w:tcPr>
            <w:tcW w:w="1888" w:type="dxa"/>
            <w:noWrap w:val="0"/>
            <w:vAlign w:val="center"/>
          </w:tcPr>
          <w:p>
            <w:pPr>
              <w:jc w:val="center"/>
              <w:rPr>
                <w:rFonts w:hint="eastAsia" w:ascii="仿宋" w:hAnsi="仿宋" w:eastAsia="仿宋" w:cs="仿宋"/>
                <w:color w:val="auto"/>
                <w:sz w:val="24"/>
                <w:szCs w:val="24"/>
              </w:rPr>
            </w:pPr>
            <w:bookmarkStart w:id="342" w:name="_Toc429553162"/>
            <w:bookmarkStart w:id="343" w:name="_Toc429559039"/>
            <w:bookmarkStart w:id="344" w:name="_Toc429560015"/>
            <w:bookmarkStart w:id="345" w:name="_Toc476231765"/>
            <w:r>
              <w:rPr>
                <w:rFonts w:hint="eastAsia" w:ascii="仿宋" w:hAnsi="仿宋" w:eastAsia="仿宋" w:cs="仿宋"/>
                <w:color w:val="auto"/>
                <w:sz w:val="24"/>
                <w:szCs w:val="24"/>
              </w:rPr>
              <w:t>差异说明</w:t>
            </w:r>
            <w:bookmarkEnd w:id="342"/>
            <w:bookmarkEnd w:id="343"/>
            <w:bookmarkEnd w:id="344"/>
            <w:bookmarkEnd w:id="3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4" w:type="dxa"/>
            <w:noWrap w:val="0"/>
            <w:vAlign w:val="center"/>
          </w:tcPr>
          <w:p>
            <w:pPr>
              <w:jc w:val="center"/>
              <w:rPr>
                <w:rFonts w:hint="eastAsia" w:ascii="仿宋" w:hAnsi="仿宋" w:eastAsia="仿宋" w:cs="仿宋"/>
                <w:color w:val="auto"/>
                <w:sz w:val="24"/>
                <w:szCs w:val="24"/>
              </w:rPr>
            </w:pPr>
          </w:p>
        </w:tc>
        <w:tc>
          <w:tcPr>
            <w:tcW w:w="3119" w:type="dxa"/>
            <w:noWrap w:val="0"/>
            <w:vAlign w:val="center"/>
          </w:tcPr>
          <w:p>
            <w:pPr>
              <w:jc w:val="center"/>
              <w:rPr>
                <w:rFonts w:hint="eastAsia" w:ascii="仿宋" w:hAnsi="仿宋" w:eastAsia="仿宋" w:cs="仿宋"/>
                <w:color w:val="auto"/>
                <w:sz w:val="24"/>
                <w:szCs w:val="24"/>
              </w:rPr>
            </w:pPr>
          </w:p>
        </w:tc>
        <w:tc>
          <w:tcPr>
            <w:tcW w:w="3151" w:type="dxa"/>
            <w:noWrap w:val="0"/>
            <w:vAlign w:val="center"/>
          </w:tcPr>
          <w:p>
            <w:pPr>
              <w:jc w:val="center"/>
              <w:rPr>
                <w:rFonts w:hint="eastAsia" w:ascii="仿宋" w:hAnsi="仿宋" w:eastAsia="仿宋" w:cs="仿宋"/>
                <w:color w:val="auto"/>
                <w:sz w:val="24"/>
                <w:szCs w:val="24"/>
              </w:rPr>
            </w:pPr>
          </w:p>
        </w:tc>
        <w:tc>
          <w:tcPr>
            <w:tcW w:w="1888" w:type="dxa"/>
            <w:noWrap w:val="0"/>
            <w:vAlign w:val="center"/>
          </w:tcPr>
          <w:p>
            <w:pPr>
              <w:jc w:val="center"/>
              <w:rPr>
                <w:rFonts w:hint="eastAsia" w:ascii="仿宋" w:hAnsi="仿宋" w:eastAsia="仿宋" w:cs="仿宋"/>
                <w:color w:val="auto"/>
                <w:sz w:val="24"/>
                <w:szCs w:val="24"/>
              </w:rPr>
            </w:pPr>
          </w:p>
        </w:tc>
      </w:tr>
      <w:bookmarkEnd w:id="320"/>
    </w:tbl>
    <w:p>
      <w:pPr>
        <w:ind w:firstLine="600" w:firstLineChars="250"/>
        <w:rPr>
          <w:rFonts w:hint="eastAsia" w:ascii="仿宋" w:hAnsi="仿宋" w:eastAsia="仿宋" w:cs="仿宋"/>
          <w:color w:val="auto"/>
          <w:sz w:val="24"/>
          <w:szCs w:val="24"/>
        </w:rPr>
      </w:pPr>
      <w:bookmarkStart w:id="346" w:name="_Toc297020929"/>
      <w:bookmarkStart w:id="347" w:name="_Toc161727400"/>
      <w:bookmarkStart w:id="348" w:name="_Toc423596075"/>
      <w:bookmarkStart w:id="349" w:name="_Toc277084876"/>
      <w:bookmarkStart w:id="350" w:name="_Toc101179065"/>
      <w:bookmarkStart w:id="351" w:name="_Toc316479514"/>
      <w:bookmarkStart w:id="352" w:name="_Toc322965785"/>
      <w:bookmarkStart w:id="353" w:name="_Toc285722718"/>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投标人：         法定代表人（或法定代表人授权代表）或自然人：</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（投标人公章）                        （签署或盖章）</w:t>
      </w:r>
    </w:p>
    <w:p>
      <w:pPr>
        <w:tabs>
          <w:tab w:val="left" w:pos="6300"/>
        </w:tabs>
        <w:snapToGrid w:val="0"/>
        <w:spacing w:line="360" w:lineRule="auto"/>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tabs>
          <w:tab w:val="left" w:pos="6300"/>
        </w:tabs>
        <w:snapToGrid w:val="0"/>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注：</w:t>
      </w:r>
    </w:p>
    <w:p>
      <w:pPr>
        <w:tabs>
          <w:tab w:val="left" w:pos="6300"/>
        </w:tabs>
        <w:snapToGrid w:val="0"/>
        <w:ind w:firstLine="570"/>
        <w:rPr>
          <w:rFonts w:hint="eastAsia" w:ascii="仿宋" w:hAnsi="仿宋" w:eastAsia="仿宋" w:cs="仿宋"/>
          <w:color w:val="auto"/>
          <w:sz w:val="24"/>
          <w:szCs w:val="24"/>
        </w:rPr>
      </w:pPr>
      <w:r>
        <w:rPr>
          <w:rFonts w:hint="eastAsia" w:ascii="仿宋" w:hAnsi="仿宋" w:eastAsia="仿宋" w:cs="仿宋"/>
          <w:color w:val="auto"/>
          <w:sz w:val="24"/>
          <w:szCs w:val="24"/>
        </w:rPr>
        <w:t>1．本表即为对本项目“第三篇 项目商务要求”中所列条款进行比较和响应，应逐条如实填写，“投标商务应答”中必须列出具体数值或内容。如投标人未应答或只注明“符合”、“满足”等类似无具体数值或内容的表述，视为不满足相应条款；</w:t>
      </w:r>
    </w:p>
    <w:p>
      <w:pPr>
        <w:tabs>
          <w:tab w:val="left" w:pos="6300"/>
        </w:tabs>
        <w:snapToGrid w:val="0"/>
        <w:ind w:firstLine="570"/>
        <w:outlineLvl w:val="1"/>
        <w:rPr>
          <w:rFonts w:hint="eastAsia" w:ascii="仿宋" w:hAnsi="仿宋" w:eastAsia="仿宋" w:cs="仿宋"/>
          <w:color w:val="auto"/>
          <w:sz w:val="24"/>
          <w:szCs w:val="24"/>
        </w:rPr>
      </w:pPr>
      <w:bookmarkStart w:id="354" w:name="_Toc31921"/>
      <w:r>
        <w:rPr>
          <w:rFonts w:hint="eastAsia" w:ascii="仿宋" w:hAnsi="仿宋" w:eastAsia="仿宋" w:cs="仿宋"/>
          <w:color w:val="auto"/>
          <w:sz w:val="24"/>
          <w:szCs w:val="24"/>
        </w:rPr>
        <w:t>2．本表可扩展。</w:t>
      </w:r>
      <w:bookmarkEnd w:id="354"/>
    </w:p>
    <w:p>
      <w:pPr>
        <w:spacing w:line="48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br w:type="page"/>
      </w:r>
      <w:bookmarkStart w:id="355" w:name="_Toc429559040"/>
      <w:r>
        <w:rPr>
          <w:rFonts w:hint="eastAsia" w:ascii="仿宋" w:hAnsi="仿宋" w:eastAsia="仿宋" w:cs="仿宋"/>
          <w:color w:val="auto"/>
          <w:sz w:val="30"/>
          <w:szCs w:val="30"/>
        </w:rPr>
        <w:t>（三）其他商务资料</w:t>
      </w:r>
    </w:p>
    <w:p>
      <w:pPr>
        <w:jc w:val="center"/>
        <w:rPr>
          <w:rFonts w:hint="eastAsia" w:ascii="仿宋" w:hAnsi="仿宋" w:eastAsia="仿宋" w:cs="仿宋"/>
          <w:color w:val="auto"/>
          <w:sz w:val="30"/>
          <w:szCs w:val="30"/>
        </w:rPr>
      </w:pPr>
      <w:r>
        <w:rPr>
          <w:rFonts w:hint="eastAsia" w:ascii="仿宋" w:hAnsi="仿宋" w:eastAsia="仿宋" w:cs="仿宋"/>
          <w:color w:val="auto"/>
          <w:sz w:val="30"/>
          <w:szCs w:val="30"/>
        </w:rPr>
        <w:br w:type="page"/>
      </w:r>
      <w:bookmarkEnd w:id="346"/>
      <w:bookmarkEnd w:id="347"/>
      <w:bookmarkEnd w:id="348"/>
      <w:bookmarkEnd w:id="349"/>
      <w:bookmarkEnd w:id="350"/>
      <w:bookmarkEnd w:id="351"/>
      <w:bookmarkEnd w:id="352"/>
      <w:bookmarkEnd w:id="353"/>
      <w:bookmarkEnd w:id="355"/>
      <w:bookmarkStart w:id="356" w:name="_Hlk70422574"/>
    </w:p>
    <w:bookmarkEnd w:id="256"/>
    <w:bookmarkEnd w:id="291"/>
    <w:bookmarkEnd w:id="301"/>
    <w:bookmarkEnd w:id="356"/>
    <w:p>
      <w:pPr>
        <w:pStyle w:val="4"/>
        <w:bidi w:val="0"/>
        <w:ind w:left="0" w:leftChars="0" w:firstLine="0" w:firstLineChars="0"/>
        <w:outlineLvl w:val="0"/>
        <w:rPr>
          <w:rFonts w:hint="eastAsia" w:ascii="仿宋" w:hAnsi="仿宋" w:eastAsia="仿宋" w:cs="仿宋"/>
          <w:color w:val="auto"/>
          <w:sz w:val="30"/>
          <w:szCs w:val="30"/>
          <w:lang w:val="en-US" w:eastAsia="zh-CN"/>
        </w:rPr>
        <w:sectPr>
          <w:pgSz w:w="11907" w:h="16840"/>
          <w:pgMar w:top="1418" w:right="1247" w:bottom="1332" w:left="1276" w:header="964" w:footer="992" w:gutter="0"/>
          <w:pgNumType w:fmt="decimal"/>
          <w:cols w:space="720" w:num="1"/>
          <w:docGrid w:linePitch="380" w:charSpace="-5735"/>
        </w:sectPr>
      </w:pPr>
      <w:bookmarkStart w:id="357" w:name="_Toc4083"/>
    </w:p>
    <w:p>
      <w:pPr>
        <w:pStyle w:val="4"/>
        <w:spacing w:line="240" w:lineRule="auto"/>
        <w:ind w:left="0" w:leftChars="0" w:firstLine="0" w:firstLineChars="0"/>
        <w:outlineLvl w:val="0"/>
        <w:rPr>
          <w:rFonts w:hint="eastAsia" w:ascii="仿宋" w:hAnsi="仿宋" w:eastAsia="仿宋" w:cs="仿宋"/>
          <w:b/>
          <w:bCs/>
          <w:color w:val="auto"/>
          <w:kern w:val="2"/>
          <w:sz w:val="36"/>
          <w:szCs w:val="36"/>
          <w:lang w:val="en-US" w:eastAsia="zh-CN" w:bidi="ar-SA"/>
        </w:rPr>
      </w:pPr>
      <w:r>
        <w:rPr>
          <w:rFonts w:hint="eastAsia" w:ascii="仿宋" w:hAnsi="仿宋" w:eastAsia="仿宋" w:cs="仿宋"/>
          <w:b/>
          <w:bCs/>
          <w:color w:val="auto"/>
          <w:kern w:val="2"/>
          <w:sz w:val="36"/>
          <w:szCs w:val="36"/>
          <w:lang w:val="en-US" w:eastAsia="zh-CN" w:bidi="ar-SA"/>
        </w:rPr>
        <w:t>三、资格文件</w:t>
      </w:r>
    </w:p>
    <w:p>
      <w:pPr>
        <w:widowControl/>
        <w:spacing w:line="360" w:lineRule="auto"/>
        <w:ind w:firstLine="480" w:firstLineChars="200"/>
        <w:rPr>
          <w:rFonts w:hint="eastAsia" w:ascii="仿宋" w:hAnsi="仿宋" w:eastAsia="仿宋" w:cs="仿宋"/>
          <w:color w:val="auto"/>
          <w:sz w:val="36"/>
          <w:szCs w:val="36"/>
        </w:rPr>
      </w:pPr>
      <w:bookmarkStart w:id="358" w:name="_Hlk56593234"/>
      <w:r>
        <w:rPr>
          <w:rFonts w:hint="eastAsia" w:ascii="仿宋" w:hAnsi="仿宋" w:eastAsia="仿宋" w:cs="仿宋"/>
          <w:color w:val="auto"/>
          <w:sz w:val="24"/>
          <w:szCs w:val="24"/>
        </w:rPr>
        <w:t>（一）法人营业执照（副本）或事业单位法人证书（副本）或个体工商户营业执照或有效的自然人身份证明或社会团体法人登记证书复印件</w:t>
      </w:r>
      <w:r>
        <w:rPr>
          <w:rFonts w:hint="eastAsia" w:ascii="仿宋" w:hAnsi="仿宋" w:eastAsia="仿宋" w:cs="仿宋"/>
          <w:color w:val="auto"/>
        </w:rPr>
        <w:br w:type="page"/>
      </w:r>
      <w:r>
        <w:rPr>
          <w:rFonts w:hint="eastAsia" w:ascii="仿宋" w:hAnsi="仿宋" w:eastAsia="仿宋" w:cs="仿宋"/>
          <w:color w:val="auto"/>
          <w:sz w:val="32"/>
          <w:szCs w:val="32"/>
        </w:rPr>
        <w:t xml:space="preserve">    （二）法定代表人身份证明书（格式）</w:t>
      </w:r>
    </w:p>
    <w:p>
      <w:pPr>
        <w:tabs>
          <w:tab w:val="left" w:pos="6300"/>
        </w:tabs>
        <w:snapToGrid w:val="0"/>
        <w:jc w:val="center"/>
        <w:rPr>
          <w:rFonts w:hint="eastAsia" w:ascii="仿宋" w:hAnsi="仿宋" w:eastAsia="仿宋" w:cs="仿宋"/>
          <w:color w:val="auto"/>
          <w:sz w:val="30"/>
          <w:szCs w:val="30"/>
        </w:rPr>
      </w:pPr>
    </w:p>
    <w:p>
      <w:pPr>
        <w:tabs>
          <w:tab w:val="left" w:pos="6300"/>
        </w:tabs>
        <w:snapToGrid w:val="0"/>
        <w:jc w:val="center"/>
        <w:outlineLvl w:val="1"/>
        <w:rPr>
          <w:rFonts w:hint="eastAsia" w:ascii="仿宋" w:hAnsi="仿宋" w:eastAsia="仿宋" w:cs="仿宋"/>
          <w:color w:val="auto"/>
          <w:sz w:val="32"/>
          <w:szCs w:val="32"/>
        </w:rPr>
      </w:pPr>
      <w:bookmarkStart w:id="359" w:name="_Toc8278"/>
      <w:r>
        <w:rPr>
          <w:rFonts w:hint="eastAsia" w:ascii="仿宋" w:hAnsi="仿宋" w:eastAsia="仿宋" w:cs="仿宋"/>
          <w:color w:val="auto"/>
          <w:sz w:val="32"/>
          <w:szCs w:val="32"/>
        </w:rPr>
        <w:t>法定代表人身份证明书</w:t>
      </w:r>
      <w:bookmarkEnd w:id="359"/>
    </w:p>
    <w:p>
      <w:pPr>
        <w:tabs>
          <w:tab w:val="left" w:pos="6300"/>
        </w:tabs>
        <w:snapToGrid w:val="0"/>
        <w:jc w:val="center"/>
        <w:rPr>
          <w:rFonts w:hint="eastAsia" w:ascii="仿宋" w:hAnsi="仿宋" w:eastAsia="仿宋" w:cs="仿宋"/>
          <w:color w:val="auto"/>
          <w:sz w:val="30"/>
          <w:szCs w:val="30"/>
        </w:rPr>
      </w:pPr>
    </w:p>
    <w:p>
      <w:pPr>
        <w:tabs>
          <w:tab w:val="left" w:pos="6300"/>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招标项目名称</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tabs>
          <w:tab w:val="left" w:pos="6300"/>
        </w:tabs>
        <w:snapToGrid w:val="0"/>
        <w:spacing w:line="360" w:lineRule="auto"/>
        <w:ind w:firstLine="573"/>
        <w:rPr>
          <w:rFonts w:hint="eastAsia" w:ascii="仿宋" w:hAnsi="仿宋" w:eastAsia="仿宋" w:cs="仿宋"/>
          <w:color w:val="auto"/>
          <w:sz w:val="24"/>
          <w:szCs w:val="24"/>
        </w:rPr>
      </w:pPr>
    </w:p>
    <w:p>
      <w:pPr>
        <w:tabs>
          <w:tab w:val="left" w:pos="6300"/>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名称）：</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（法定代表人姓名）在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（职务名称）职务，是（投标人名称）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的法定代表人。</w:t>
      </w:r>
    </w:p>
    <w:p>
      <w:pPr>
        <w:tabs>
          <w:tab w:val="left" w:pos="6300"/>
        </w:tabs>
        <w:snapToGrid w:val="0"/>
        <w:spacing w:line="360" w:lineRule="auto"/>
        <w:ind w:firstLine="573"/>
        <w:rPr>
          <w:rFonts w:hint="eastAsia" w:ascii="仿宋" w:hAnsi="仿宋" w:eastAsia="仿宋" w:cs="仿宋"/>
          <w:color w:val="auto"/>
          <w:sz w:val="24"/>
          <w:szCs w:val="24"/>
        </w:rPr>
      </w:pPr>
    </w:p>
    <w:p>
      <w:pPr>
        <w:tabs>
          <w:tab w:val="left" w:pos="6300"/>
        </w:tabs>
        <w:snapToGrid w:val="0"/>
        <w:spacing w:line="360" w:lineRule="auto"/>
        <w:ind w:firstLine="573"/>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tabs>
          <w:tab w:val="left" w:pos="6300"/>
        </w:tabs>
        <w:snapToGrid w:val="0"/>
        <w:spacing w:line="360" w:lineRule="auto"/>
        <w:ind w:firstLine="573"/>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w:t>
      </w:r>
    </w:p>
    <w:p>
      <w:pPr>
        <w:tabs>
          <w:tab w:val="left" w:pos="6300"/>
        </w:tabs>
        <w:snapToGrid w:val="0"/>
        <w:spacing w:line="360" w:lineRule="auto"/>
        <w:ind w:firstLine="573"/>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tabs>
          <w:tab w:val="left" w:pos="6300"/>
        </w:tabs>
        <w:snapToGrid w:val="0"/>
        <w:spacing w:line="360" w:lineRule="auto"/>
        <w:ind w:firstLine="573"/>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法定代表人电话：XXXXXXXX  电子邮箱：XXXXXX@XXXXX（若授权他人办理并签署投标文件的可不填写）</w:t>
      </w:r>
    </w:p>
    <w:p>
      <w:pPr>
        <w:tabs>
          <w:tab w:val="left" w:pos="6300"/>
        </w:tabs>
        <w:snapToGrid w:val="0"/>
        <w:spacing w:line="360" w:lineRule="auto"/>
        <w:ind w:left="560" w:leftChars="200"/>
        <w:rPr>
          <w:rFonts w:hint="eastAsia" w:ascii="仿宋" w:hAnsi="仿宋" w:eastAsia="仿宋" w:cs="仿宋"/>
          <w:color w:val="auto"/>
          <w:sz w:val="32"/>
          <w:szCs w:val="32"/>
        </w:rPr>
      </w:pPr>
      <w:r>
        <w:rPr>
          <w:rFonts w:hint="eastAsia" w:ascii="仿宋" w:hAnsi="仿宋" w:eastAsia="仿宋" w:cs="仿宋"/>
          <w:color w:val="auto"/>
          <w:sz w:val="24"/>
          <w:szCs w:val="24"/>
        </w:rPr>
        <w:t>（附：法定代表人身份证正反面复印件）</w:t>
      </w:r>
      <w:r>
        <w:rPr>
          <w:rFonts w:hint="eastAsia" w:ascii="仿宋" w:hAnsi="仿宋" w:eastAsia="仿宋" w:cs="仿宋"/>
          <w:color w:val="auto"/>
          <w:sz w:val="30"/>
          <w:szCs w:val="30"/>
        </w:rPr>
        <w:br w:type="page"/>
      </w:r>
      <w:r>
        <w:rPr>
          <w:rFonts w:hint="eastAsia" w:ascii="仿宋" w:hAnsi="仿宋" w:eastAsia="仿宋" w:cs="仿宋"/>
          <w:color w:val="auto"/>
          <w:sz w:val="32"/>
          <w:szCs w:val="32"/>
        </w:rPr>
        <w:t>（三）法定代表人授权委托书（格式）</w:t>
      </w:r>
    </w:p>
    <w:p>
      <w:pPr>
        <w:tabs>
          <w:tab w:val="left" w:pos="6300"/>
        </w:tabs>
        <w:snapToGrid w:val="0"/>
        <w:jc w:val="center"/>
        <w:rPr>
          <w:rFonts w:hint="eastAsia" w:ascii="仿宋" w:hAnsi="仿宋" w:eastAsia="仿宋" w:cs="仿宋"/>
          <w:color w:val="auto"/>
          <w:sz w:val="30"/>
          <w:szCs w:val="30"/>
        </w:rPr>
      </w:pPr>
    </w:p>
    <w:p>
      <w:pPr>
        <w:tabs>
          <w:tab w:val="left" w:pos="6300"/>
        </w:tabs>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法定代表人授权委托书</w:t>
      </w:r>
    </w:p>
    <w:p>
      <w:pPr>
        <w:tabs>
          <w:tab w:val="left" w:pos="6300"/>
        </w:tabs>
        <w:snapToGrid w:val="0"/>
        <w:jc w:val="center"/>
        <w:rPr>
          <w:rFonts w:hint="eastAsia" w:ascii="仿宋" w:hAnsi="仿宋" w:eastAsia="仿宋" w:cs="仿宋"/>
          <w:color w:val="auto"/>
          <w:sz w:val="24"/>
          <w:szCs w:val="24"/>
        </w:rPr>
      </w:pPr>
    </w:p>
    <w:p>
      <w:pPr>
        <w:tabs>
          <w:tab w:val="left" w:pos="6300"/>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招标项目名称</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tabs>
          <w:tab w:val="left" w:pos="6300"/>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名称）：</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（投标人法定代表人名称）是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（投标人名称）的法定代表人，特授权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（被授权人姓名及身份证代码）代表我单位全权办理上述项目的投标、谈判、签约等具体工作，并签署全部有关文件、协议及合同。</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我单位对被授权人的签署负全部责任。</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仿宋" w:hAnsi="仿宋" w:eastAsia="仿宋" w:cs="仿宋"/>
          <w:color w:val="auto"/>
          <w:sz w:val="24"/>
          <w:szCs w:val="24"/>
        </w:rPr>
      </w:pPr>
    </w:p>
    <w:p>
      <w:pPr>
        <w:tabs>
          <w:tab w:val="left" w:pos="6300"/>
        </w:tabs>
        <w:snapToGrid w:val="0"/>
        <w:spacing w:line="360" w:lineRule="auto"/>
        <w:ind w:firstLine="570"/>
        <w:rPr>
          <w:rFonts w:hint="eastAsia" w:ascii="仿宋" w:hAnsi="仿宋" w:eastAsia="仿宋" w:cs="仿宋"/>
          <w:color w:val="auto"/>
          <w:sz w:val="24"/>
          <w:szCs w:val="24"/>
        </w:rPr>
      </w:pPr>
      <w:bookmarkStart w:id="360" w:name="_Hlk517194860"/>
      <w:r>
        <w:rPr>
          <w:rFonts w:hint="eastAsia" w:ascii="仿宋" w:hAnsi="仿宋" w:eastAsia="仿宋" w:cs="仿宋"/>
          <w:color w:val="auto"/>
          <w:sz w:val="24"/>
          <w:szCs w:val="24"/>
        </w:rPr>
        <w:t>被授权人：               投标人法定代表人：</w:t>
      </w:r>
    </w:p>
    <w:p>
      <w:pPr>
        <w:tabs>
          <w:tab w:val="left" w:pos="6300"/>
        </w:tabs>
        <w:snapToGrid w:val="0"/>
        <w:spacing w:line="360" w:lineRule="auto"/>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（签署或盖章）              （签署或盖章）</w:t>
      </w:r>
    </w:p>
    <w:bookmarkEnd w:id="360"/>
    <w:p>
      <w:pPr>
        <w:tabs>
          <w:tab w:val="left" w:pos="6300"/>
        </w:tabs>
        <w:snapToGrid w:val="0"/>
        <w:spacing w:line="360" w:lineRule="auto"/>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（附：被授权人身份证正反面复印件）</w:t>
      </w:r>
    </w:p>
    <w:p>
      <w:pPr>
        <w:tabs>
          <w:tab w:val="left" w:pos="5670"/>
        </w:tabs>
        <w:snapToGrid w:val="0"/>
        <w:spacing w:line="360" w:lineRule="auto"/>
        <w:ind w:firstLine="5520" w:firstLineChars="2300"/>
        <w:jc w:val="lef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360" w:lineRule="auto"/>
        <w:ind w:right="600" w:firstLine="57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被授权人电话：XXXXXXX     电子邮箱：XXXXXX@XXXXX（若法定代表人办理并签署投标文件的可不填写）</w:t>
      </w:r>
    </w:p>
    <w:p>
      <w:pPr>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注：</w:t>
      </w:r>
    </w:p>
    <w:p>
      <w:pPr>
        <w:spacing w:line="360" w:lineRule="auto"/>
        <w:ind w:firstLine="480" w:firstLineChars="200"/>
        <w:outlineLvl w:val="1"/>
        <w:rPr>
          <w:rFonts w:hint="eastAsia" w:ascii="仿宋" w:hAnsi="仿宋" w:eastAsia="仿宋" w:cs="仿宋"/>
          <w:color w:val="auto"/>
          <w:sz w:val="24"/>
          <w:szCs w:val="24"/>
        </w:rPr>
      </w:pPr>
      <w:bookmarkStart w:id="361" w:name="_Toc11160"/>
      <w:r>
        <w:rPr>
          <w:rFonts w:hint="eastAsia" w:ascii="仿宋" w:hAnsi="仿宋" w:eastAsia="仿宋" w:cs="仿宋"/>
          <w:color w:val="auto"/>
          <w:sz w:val="24"/>
          <w:szCs w:val="24"/>
        </w:rPr>
        <w:t>1．若为法定代表人办理并签署投标文件的，不提供此文件。</w:t>
      </w:r>
      <w:bookmarkEnd w:id="361"/>
    </w:p>
    <w:p>
      <w:pPr>
        <w:spacing w:line="360" w:lineRule="auto"/>
        <w:ind w:firstLine="480" w:firstLineChars="200"/>
        <w:jc w:val="left"/>
        <w:rPr>
          <w:rFonts w:hint="eastAsia" w:ascii="仿宋" w:hAnsi="仿宋" w:eastAsia="仿宋" w:cs="仿宋"/>
          <w:color w:val="auto"/>
          <w:sz w:val="32"/>
          <w:szCs w:val="32"/>
        </w:rPr>
      </w:pPr>
      <w:r>
        <w:rPr>
          <w:rFonts w:hint="eastAsia" w:ascii="仿宋" w:hAnsi="仿宋" w:eastAsia="仿宋" w:cs="仿宋"/>
          <w:color w:val="auto"/>
          <w:sz w:val="24"/>
          <w:szCs w:val="24"/>
        </w:rPr>
        <w:t>2．若为联合体投标的，法定代表人授权委托书由联合体主办方（主体）出具。</w:t>
      </w:r>
      <w:r>
        <w:rPr>
          <w:rFonts w:hint="eastAsia" w:ascii="仿宋" w:hAnsi="仿宋" w:eastAsia="仿宋" w:cs="仿宋"/>
          <w:color w:val="auto"/>
          <w:sz w:val="30"/>
          <w:szCs w:val="30"/>
        </w:rPr>
        <w:br w:type="column"/>
      </w:r>
      <w:bookmarkEnd w:id="358"/>
      <w:r>
        <w:rPr>
          <w:rFonts w:hint="eastAsia" w:ascii="仿宋" w:hAnsi="仿宋" w:eastAsia="仿宋" w:cs="仿宋"/>
          <w:color w:val="auto"/>
          <w:sz w:val="30"/>
          <w:szCs w:val="30"/>
        </w:rPr>
        <w:t xml:space="preserve">    </w:t>
      </w:r>
      <w:r>
        <w:rPr>
          <w:rFonts w:hint="eastAsia" w:ascii="仿宋" w:hAnsi="仿宋" w:eastAsia="仿宋" w:cs="仿宋"/>
          <w:color w:val="auto"/>
          <w:sz w:val="32"/>
          <w:szCs w:val="32"/>
        </w:rPr>
        <w:t>（四）基本资格条件承诺函</w:t>
      </w:r>
    </w:p>
    <w:p>
      <w:pPr>
        <w:jc w:val="center"/>
        <w:rPr>
          <w:rFonts w:hint="eastAsia" w:ascii="仿宋" w:hAnsi="仿宋" w:eastAsia="仿宋" w:cs="仿宋"/>
          <w:color w:val="auto"/>
          <w:sz w:val="30"/>
          <w:szCs w:val="30"/>
        </w:rPr>
      </w:pPr>
    </w:p>
    <w:p>
      <w:pPr>
        <w:jc w:val="center"/>
        <w:rPr>
          <w:rFonts w:hint="eastAsia" w:ascii="仿宋" w:hAnsi="仿宋" w:eastAsia="仿宋" w:cs="仿宋"/>
          <w:color w:val="auto"/>
          <w:sz w:val="44"/>
          <w:szCs w:val="44"/>
        </w:rPr>
      </w:pPr>
      <w:r>
        <w:rPr>
          <w:rFonts w:hint="eastAsia" w:ascii="仿宋" w:hAnsi="仿宋" w:eastAsia="仿宋" w:cs="仿宋"/>
          <w:color w:val="auto"/>
          <w:sz w:val="44"/>
          <w:szCs w:val="44"/>
        </w:rPr>
        <w:t>基本资格条件承诺函</w:t>
      </w:r>
    </w:p>
    <w:p>
      <w:pPr>
        <w:tabs>
          <w:tab w:val="left" w:pos="6300"/>
        </w:tabs>
        <w:snapToGrid w:val="0"/>
        <w:jc w:val="center"/>
        <w:rPr>
          <w:rFonts w:hint="eastAsia" w:ascii="仿宋" w:hAnsi="仿宋" w:eastAsia="仿宋" w:cs="仿宋"/>
          <w:color w:val="auto"/>
          <w:sz w:val="30"/>
          <w:szCs w:val="30"/>
        </w:rPr>
      </w:pPr>
    </w:p>
    <w:p>
      <w:pPr>
        <w:tabs>
          <w:tab w:val="left" w:pos="6300"/>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名称）：</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（投标人名称）郑重承诺：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1．我方具有良好的商业信誉和健全的财务会计制度，具有履行合同所必需的设备和专业技术能力，具</w:t>
      </w:r>
      <w:r>
        <w:rPr>
          <w:rFonts w:hint="eastAsia" w:ascii="仿宋" w:hAnsi="仿宋" w:eastAsia="仿宋" w:cs="仿宋"/>
          <w:color w:val="auto"/>
          <w:sz w:val="24"/>
          <w:szCs w:val="24"/>
          <w:lang w:val="zh-CN"/>
        </w:rPr>
        <w:t>有依法缴纳税收和社会保障金的良好记录</w:t>
      </w:r>
      <w:r>
        <w:rPr>
          <w:rFonts w:hint="eastAsia" w:ascii="仿宋" w:hAnsi="仿宋" w:eastAsia="仿宋" w:cs="仿宋"/>
          <w:color w:val="auto"/>
          <w:sz w:val="24"/>
          <w:szCs w:val="24"/>
        </w:rPr>
        <w:t>，参加本项目采购活动前三年内无重大违法活动记录。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3．我方在采购项目评审（评标）环节结束后，随时接受</w:t>
      </w:r>
      <w:r>
        <w:rPr>
          <w:rFonts w:hint="eastAsia" w:ascii="仿宋" w:hAnsi="仿宋" w:eastAsia="仿宋" w:cs="仿宋"/>
          <w:color w:val="auto"/>
          <w:sz w:val="24"/>
          <w:szCs w:val="24"/>
          <w:lang w:eastAsia="zh-CN"/>
        </w:rPr>
        <w:t>招标人</w:t>
      </w:r>
      <w:r>
        <w:rPr>
          <w:rFonts w:hint="eastAsia" w:ascii="仿宋" w:hAnsi="仿宋" w:eastAsia="仿宋" w:cs="仿宋"/>
          <w:color w:val="auto"/>
          <w:sz w:val="24"/>
          <w:szCs w:val="24"/>
        </w:rPr>
        <w:t>、采购代理机构的检查验证，配合提供相关证明材料，证明符合《中华人民共和国政府采购法》规定的投标人基本资格条件。</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我方对以上承诺负全部法律责任。</w:t>
      </w:r>
    </w:p>
    <w:p>
      <w:pPr>
        <w:tabs>
          <w:tab w:val="left" w:pos="6300"/>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特此承诺。</w:t>
      </w:r>
    </w:p>
    <w:p>
      <w:pPr>
        <w:tabs>
          <w:tab w:val="left" w:pos="6300"/>
        </w:tabs>
        <w:snapToGrid w:val="0"/>
        <w:spacing w:line="360" w:lineRule="auto"/>
        <w:rPr>
          <w:rFonts w:hint="eastAsia" w:ascii="仿宋" w:hAnsi="仿宋" w:eastAsia="仿宋" w:cs="仿宋"/>
          <w:color w:val="auto"/>
          <w:sz w:val="24"/>
          <w:szCs w:val="24"/>
        </w:rPr>
      </w:pPr>
    </w:p>
    <w:p>
      <w:pPr>
        <w:tabs>
          <w:tab w:val="left" w:pos="6300"/>
        </w:tabs>
        <w:snapToGrid w:val="0"/>
        <w:spacing w:line="360" w:lineRule="auto"/>
        <w:rPr>
          <w:rFonts w:hint="eastAsia" w:ascii="仿宋" w:hAnsi="仿宋" w:eastAsia="仿宋" w:cs="仿宋"/>
          <w:color w:val="auto"/>
          <w:sz w:val="24"/>
          <w:szCs w:val="24"/>
        </w:rPr>
      </w:pPr>
    </w:p>
    <w:p>
      <w:pPr>
        <w:tabs>
          <w:tab w:val="left" w:pos="6300"/>
        </w:tabs>
        <w:snapToGrid w:val="0"/>
        <w:spacing w:line="360" w:lineRule="auto"/>
        <w:ind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w:t>
      </w:r>
    </w:p>
    <w:p>
      <w:pPr>
        <w:spacing w:line="360" w:lineRule="auto"/>
        <w:ind w:firstLine="5160" w:firstLineChars="2150"/>
        <w:jc w:val="right"/>
        <w:rPr>
          <w:rFonts w:hint="eastAsia" w:ascii="仿宋" w:hAnsi="仿宋" w:eastAsia="仿宋" w:cs="仿宋"/>
          <w:color w:val="auto"/>
          <w:sz w:val="28"/>
          <w:szCs w:val="28"/>
        </w:rPr>
      </w:pPr>
      <w:r>
        <w:rPr>
          <w:rFonts w:hint="eastAsia" w:ascii="仿宋" w:hAnsi="仿宋" w:eastAsia="仿宋" w:cs="仿宋"/>
          <w:color w:val="auto"/>
          <w:sz w:val="24"/>
          <w:szCs w:val="24"/>
        </w:rPr>
        <w:t>年   月   日</w:t>
      </w:r>
    </w:p>
    <w:p>
      <w:pPr>
        <w:ind w:firstLine="560" w:firstLineChars="200"/>
        <w:rPr>
          <w:rFonts w:hint="eastAsia" w:ascii="仿宋" w:hAnsi="仿宋" w:eastAsia="仿宋" w:cs="仿宋"/>
          <w:color w:val="auto"/>
          <w:sz w:val="32"/>
          <w:szCs w:val="32"/>
        </w:rPr>
      </w:pPr>
      <w:r>
        <w:rPr>
          <w:rFonts w:hint="eastAsia" w:ascii="仿宋" w:hAnsi="仿宋" w:eastAsia="仿宋" w:cs="仿宋"/>
          <w:color w:val="auto"/>
        </w:rPr>
        <w:br w:type="page"/>
      </w:r>
      <w:r>
        <w:rPr>
          <w:rFonts w:hint="eastAsia" w:ascii="仿宋" w:hAnsi="仿宋" w:eastAsia="仿宋" w:cs="仿宋"/>
          <w:color w:val="auto"/>
          <w:sz w:val="32"/>
          <w:szCs w:val="32"/>
        </w:rPr>
        <w:t>（五）特定资格条件证书或</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证明文件</w:t>
      </w:r>
    </w:p>
    <w:p>
      <w:pPr>
        <w:jc w:val="center"/>
        <w:rPr>
          <w:rFonts w:hint="eastAsia" w:ascii="仿宋" w:hAnsi="仿宋" w:eastAsia="仿宋" w:cs="仿宋"/>
          <w:color w:val="auto"/>
          <w:lang w:eastAsia="zh-CN"/>
        </w:rPr>
      </w:pPr>
      <w:r>
        <w:rPr>
          <w:rFonts w:hint="eastAsia" w:ascii="仿宋" w:hAnsi="仿宋" w:eastAsia="仿宋" w:cs="仿宋"/>
          <w:color w:val="auto"/>
          <w:lang w:eastAsia="zh-CN"/>
        </w:rPr>
        <w:t>（如有）</w:t>
      </w:r>
    </w:p>
    <w:p>
      <w:pPr>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br w:type="page"/>
      </w:r>
    </w:p>
    <w:p>
      <w:pPr>
        <w:jc w:val="center"/>
        <w:rPr>
          <w:rFonts w:hint="eastAsia" w:ascii="仿宋" w:hAnsi="仿宋" w:eastAsia="仿宋" w:cs="仿宋"/>
          <w:b/>
          <w:bCs/>
          <w:color w:val="auto"/>
          <w:sz w:val="36"/>
          <w:szCs w:val="36"/>
          <w:lang w:eastAsia="zh-CN"/>
        </w:rPr>
      </w:pPr>
      <w:r>
        <w:rPr>
          <w:rFonts w:hint="eastAsia" w:ascii="仿宋" w:hAnsi="仿宋" w:eastAsia="仿宋" w:cs="仿宋"/>
          <w:b/>
          <w:bCs/>
          <w:color w:val="auto"/>
          <w:kern w:val="2"/>
          <w:sz w:val="36"/>
          <w:szCs w:val="36"/>
          <w:lang w:val="en-US" w:eastAsia="zh-CN" w:bidi="ar-SA"/>
        </w:rPr>
        <w:t xml:space="preserve">四、 </w:t>
      </w:r>
      <w:bookmarkStart w:id="362" w:name="_Toc148"/>
      <w:bookmarkStart w:id="363" w:name="_Toc25386"/>
      <w:bookmarkStart w:id="364" w:name="_Toc14050"/>
      <w:bookmarkStart w:id="365" w:name="_Toc15222"/>
      <w:bookmarkStart w:id="366" w:name="_Toc5382"/>
      <w:bookmarkStart w:id="367" w:name="_Toc4233"/>
      <w:r>
        <w:rPr>
          <w:rFonts w:hint="eastAsia" w:ascii="仿宋" w:hAnsi="仿宋" w:eastAsia="仿宋" w:cs="仿宋"/>
          <w:b/>
          <w:bCs/>
          <w:color w:val="auto"/>
          <w:sz w:val="36"/>
          <w:szCs w:val="36"/>
        </w:rPr>
        <w:t>技术</w:t>
      </w:r>
      <w:bookmarkEnd w:id="362"/>
      <w:bookmarkEnd w:id="363"/>
      <w:bookmarkEnd w:id="364"/>
      <w:r>
        <w:rPr>
          <w:rFonts w:hint="eastAsia" w:ascii="仿宋" w:hAnsi="仿宋" w:eastAsia="仿宋" w:cs="仿宋"/>
          <w:b/>
          <w:bCs/>
          <w:color w:val="auto"/>
          <w:sz w:val="36"/>
          <w:szCs w:val="36"/>
          <w:lang w:eastAsia="zh-CN"/>
        </w:rPr>
        <w:t>部分</w:t>
      </w:r>
    </w:p>
    <w:p>
      <w:pPr>
        <w:pStyle w:val="4"/>
        <w:bidi w:val="0"/>
        <w:ind w:left="0" w:leftChars="0" w:firstLine="0" w:firstLineChars="0"/>
        <w:jc w:val="center"/>
        <w:outlineLvl w:val="0"/>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供货服务方案（格式自拟）</w:t>
      </w:r>
    </w:p>
    <w:p>
      <w:pP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br w:type="page"/>
      </w:r>
    </w:p>
    <w:p>
      <w:pPr>
        <w:pStyle w:val="4"/>
        <w:bidi w:val="0"/>
        <w:ind w:left="0" w:leftChars="0" w:firstLine="0" w:firstLineChars="0"/>
        <w:jc w:val="center"/>
        <w:outlineLvl w:val="0"/>
        <w:rPr>
          <w:rFonts w:hint="eastAsia" w:ascii="仿宋" w:hAnsi="仿宋" w:eastAsia="仿宋" w:cs="仿宋"/>
          <w:b/>
          <w:bCs/>
          <w:color w:val="auto"/>
          <w:kern w:val="2"/>
          <w:sz w:val="36"/>
          <w:szCs w:val="36"/>
          <w:lang w:val="en-US" w:eastAsia="zh-CN" w:bidi="ar-SA"/>
        </w:rPr>
      </w:pPr>
      <w:r>
        <w:rPr>
          <w:rFonts w:hint="eastAsia" w:ascii="仿宋" w:hAnsi="仿宋" w:eastAsia="仿宋" w:cs="仿宋"/>
          <w:b/>
          <w:bCs/>
          <w:color w:val="auto"/>
          <w:kern w:val="2"/>
          <w:sz w:val="36"/>
          <w:szCs w:val="36"/>
          <w:lang w:val="en-US" w:eastAsia="zh-CN" w:bidi="ar-SA"/>
        </w:rPr>
        <w:t>五、其他</w:t>
      </w:r>
      <w:bookmarkEnd w:id="365"/>
      <w:bookmarkEnd w:id="366"/>
      <w:bookmarkEnd w:id="367"/>
    </w:p>
    <w:p>
      <w:pPr>
        <w:ind w:firstLine="600" w:firstLineChars="200"/>
        <w:outlineLvl w:val="0"/>
        <w:rPr>
          <w:rFonts w:hint="eastAsia" w:ascii="仿宋" w:hAnsi="仿宋" w:eastAsia="仿宋" w:cs="仿宋"/>
          <w:color w:val="auto"/>
          <w:sz w:val="30"/>
          <w:szCs w:val="30"/>
        </w:rPr>
      </w:pPr>
      <w:bookmarkStart w:id="368" w:name="_Toc4010"/>
      <w:r>
        <w:rPr>
          <w:rFonts w:hint="eastAsia" w:ascii="仿宋" w:hAnsi="仿宋" w:eastAsia="仿宋" w:cs="仿宋"/>
          <w:color w:val="auto"/>
          <w:sz w:val="30"/>
          <w:szCs w:val="30"/>
          <w:lang w:val="en-US" w:eastAsia="zh-CN"/>
        </w:rPr>
        <w:t xml:space="preserve"> </w:t>
      </w:r>
      <w:bookmarkStart w:id="369" w:name="_Toc24472"/>
      <w:bookmarkStart w:id="370" w:name="_Toc5374"/>
      <w:r>
        <w:rPr>
          <w:rFonts w:hint="eastAsia" w:ascii="仿宋" w:hAnsi="仿宋" w:eastAsia="仿宋" w:cs="仿宋"/>
          <w:color w:val="auto"/>
          <w:sz w:val="30"/>
          <w:szCs w:val="30"/>
        </w:rPr>
        <w:t>其他与项目有关的资料（自附）</w:t>
      </w:r>
      <w:bookmarkEnd w:id="368"/>
      <w:bookmarkEnd w:id="369"/>
      <w:bookmarkEnd w:id="370"/>
    </w:p>
    <w:p>
      <w:pPr>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br w:type="page"/>
      </w:r>
    </w:p>
    <w:p>
      <w:pPr>
        <w:pStyle w:val="4"/>
        <w:bidi w:val="0"/>
        <w:ind w:left="0" w:leftChars="0" w:firstLine="0" w:firstLineChars="0"/>
        <w:outlineLvl w:val="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附件：报名登记表</w:t>
      </w:r>
      <w:bookmarkEnd w:id="357"/>
    </w:p>
    <w:p>
      <w:pPr>
        <w:ind w:left="0" w:leftChars="0" w:firstLine="883" w:firstLineChars="200"/>
        <w:jc w:val="center"/>
        <w:rPr>
          <w:rFonts w:hint="eastAsia" w:ascii="仿宋" w:hAnsi="仿宋" w:eastAsia="仿宋" w:cs="仿宋"/>
          <w:color w:val="auto"/>
          <w:sz w:val="36"/>
          <w:szCs w:val="36"/>
        </w:rPr>
      </w:pPr>
      <w:r>
        <w:rPr>
          <w:rFonts w:hint="eastAsia" w:ascii="仿宋" w:hAnsi="仿宋" w:eastAsia="仿宋" w:cs="仿宋"/>
          <w:b/>
          <w:bCs/>
          <w:color w:val="auto"/>
          <w:sz w:val="44"/>
          <w:szCs w:val="44"/>
          <w:lang w:val="en-US" w:eastAsia="zh-CN"/>
        </w:rPr>
        <w:t xml:space="preserve"> </w:t>
      </w:r>
      <w:r>
        <w:rPr>
          <w:rFonts w:hint="eastAsia" w:ascii="仿宋" w:hAnsi="仿宋" w:eastAsia="仿宋" w:cs="仿宋"/>
          <w:color w:val="auto"/>
          <w:sz w:val="36"/>
          <w:szCs w:val="36"/>
        </w:rPr>
        <w:t>报名登记表</w:t>
      </w:r>
    </w:p>
    <w:p>
      <w:pPr>
        <w:ind w:left="0" w:leftChars="0" w:firstLine="720" w:firstLineChars="200"/>
        <w:jc w:val="left"/>
        <w:rPr>
          <w:rFonts w:hint="eastAsia" w:ascii="仿宋" w:hAnsi="仿宋" w:eastAsia="仿宋" w:cs="仿宋"/>
          <w:color w:val="auto"/>
          <w:spacing w:val="40"/>
        </w:rPr>
      </w:pPr>
    </w:p>
    <w:tbl>
      <w:tblPr>
        <w:tblStyle w:val="58"/>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项目名称</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供应商名称</w:t>
            </w:r>
          </w:p>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（盖章）</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联系人</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手机</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办公电话</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传真</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E-mail</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单位地址</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3173" w:type="dxa"/>
            <w:noWrap w:val="0"/>
            <w:vAlign w:val="center"/>
          </w:tcPr>
          <w:p>
            <w:pPr>
              <w:ind w:left="0" w:leftChars="0" w:firstLine="600" w:firstLineChars="200"/>
              <w:jc w:val="center"/>
              <w:rPr>
                <w:rFonts w:hint="eastAsia" w:ascii="仿宋" w:hAnsi="仿宋" w:eastAsia="仿宋" w:cs="仿宋"/>
                <w:color w:val="auto"/>
                <w:sz w:val="30"/>
                <w:szCs w:val="30"/>
              </w:rPr>
            </w:pPr>
            <w:r>
              <w:rPr>
                <w:rFonts w:hint="eastAsia" w:ascii="仿宋" w:hAnsi="仿宋" w:eastAsia="仿宋" w:cs="仿宋"/>
                <w:color w:val="auto"/>
                <w:sz w:val="30"/>
                <w:szCs w:val="30"/>
              </w:rPr>
              <w:t>报名时间</w:t>
            </w:r>
          </w:p>
        </w:tc>
        <w:tc>
          <w:tcPr>
            <w:tcW w:w="5986" w:type="dxa"/>
            <w:noWrap w:val="0"/>
            <w:vAlign w:val="center"/>
          </w:tcPr>
          <w:p>
            <w:pPr>
              <w:ind w:left="0" w:leftChars="0" w:firstLine="600" w:firstLineChars="200"/>
              <w:jc w:val="center"/>
              <w:rPr>
                <w:rFonts w:hint="eastAsia" w:ascii="仿宋" w:hAnsi="仿宋" w:eastAsia="仿宋" w:cs="仿宋"/>
                <w:color w:val="auto"/>
                <w:sz w:val="30"/>
                <w:szCs w:val="30"/>
              </w:rPr>
            </w:pPr>
          </w:p>
        </w:tc>
      </w:tr>
    </w:tbl>
    <w:p>
      <w:pPr>
        <w:rPr>
          <w:rFonts w:hint="eastAsia" w:ascii="仿宋" w:hAnsi="仿宋" w:eastAsia="仿宋" w:cs="仿宋"/>
          <w:color w:val="auto"/>
          <w:lang w:val="en-US"/>
        </w:rPr>
      </w:pPr>
    </w:p>
    <w:p>
      <w:pPr>
        <w:rPr>
          <w:rFonts w:hint="eastAsia" w:ascii="仿宋" w:hAnsi="仿宋" w:eastAsia="仿宋" w:cs="仿宋"/>
          <w:color w:val="auto"/>
        </w:rPr>
      </w:pPr>
    </w:p>
    <w:sectPr>
      <w:pgSz w:w="11907" w:h="16840"/>
      <w:pgMar w:top="1418" w:right="1247" w:bottom="1332" w:left="1276" w:header="964"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885F3310-B16D-46A3-AB4B-5506526D0924}"/>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昆仑楷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鼎粗黑">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jc w:val="right"/>
                          </w:pPr>
                          <w:r>
                            <w:rPr>
                              <w:sz w:val="24"/>
                            </w:rPr>
                            <w:fldChar w:fldCharType="begin"/>
                          </w:r>
                          <w:r>
                            <w:rPr>
                              <w:rStyle w:val="62"/>
                              <w:sz w:val="24"/>
                            </w:rPr>
                            <w:instrText xml:space="preserve"> PAGE </w:instrText>
                          </w:r>
                          <w:r>
                            <w:rPr>
                              <w:sz w:val="24"/>
                            </w:rPr>
                            <w:fldChar w:fldCharType="separate"/>
                          </w:r>
                          <w:r>
                            <w:rPr>
                              <w:rStyle w:val="62"/>
                              <w:sz w:val="24"/>
                            </w:rPr>
                            <w:t>- 61 -</w:t>
                          </w:r>
                          <w:r>
                            <w:rPr>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36"/>
                      <w:jc w:val="right"/>
                    </w:pPr>
                    <w:r>
                      <w:rPr>
                        <w:sz w:val="24"/>
                      </w:rPr>
                      <w:fldChar w:fldCharType="begin"/>
                    </w:r>
                    <w:r>
                      <w:rPr>
                        <w:rStyle w:val="62"/>
                        <w:sz w:val="24"/>
                      </w:rPr>
                      <w:instrText xml:space="preserve"> PAGE </w:instrText>
                    </w:r>
                    <w:r>
                      <w:rPr>
                        <w:sz w:val="24"/>
                      </w:rPr>
                      <w:fldChar w:fldCharType="separate"/>
                    </w:r>
                    <w:r>
                      <w:rPr>
                        <w:rStyle w:val="62"/>
                        <w:sz w:val="24"/>
                      </w:rPr>
                      <w:t>- 61 -</w:t>
                    </w:r>
                    <w:r>
                      <w:rPr>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rPr>
        <w:rFonts w:hint="eastAsia" w:ascii="宋体" w:hAnsi="宋体"/>
        <w:sz w:val="28"/>
        <w:szCs w:val="28"/>
      </w:rPr>
    </w:pPr>
    <w:r>
      <w:rPr>
        <w:rFonts w:hint="eastAsia" w:ascii="宋体" w:hAnsi="宋体"/>
        <w:sz w:val="28"/>
        <w:szCs w:val="28"/>
        <w:lang w:val="en-US" w:eastAsia="zh-CN"/>
      </w:rPr>
      <w:t xml:space="preserve"> </w:t>
    </w:r>
    <w:r>
      <w:rPr>
        <w:rFonts w:hint="eastAsia" w:ascii="仿宋" w:hAnsi="仿宋" w:eastAsia="仿宋" w:cs="仿宋"/>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1FE232"/>
    <w:multiLevelType w:val="singleLevel"/>
    <w:tmpl w:val="DC1FE232"/>
    <w:lvl w:ilvl="0" w:tentative="0">
      <w:start w:val="1"/>
      <w:numFmt w:val="decimal"/>
      <w:suff w:val="nothing"/>
      <w:lvlText w:val="%1．"/>
      <w:lvlJc w:val="left"/>
      <w:pPr>
        <w:ind w:left="0" w:firstLine="400"/>
      </w:pPr>
      <w:rPr>
        <w:rFonts w:hint="default"/>
      </w:rPr>
    </w:lvl>
  </w:abstractNum>
  <w:abstractNum w:abstractNumId="1">
    <w:nsid w:val="00000003"/>
    <w:multiLevelType w:val="singleLevel"/>
    <w:tmpl w:val="00000003"/>
    <w:lvl w:ilvl="0" w:tentative="0">
      <w:start w:val="1"/>
      <w:numFmt w:val="decimal"/>
      <w:pStyle w:val="14"/>
      <w:lvlText w:val="%1."/>
      <w:lvlJc w:val="left"/>
      <w:pPr>
        <w:tabs>
          <w:tab w:val="left" w:pos="780"/>
        </w:tabs>
        <w:ind w:left="780" w:hanging="360"/>
      </w:pPr>
    </w:lvl>
  </w:abstractNum>
  <w:abstractNum w:abstractNumId="2">
    <w:nsid w:val="00000005"/>
    <w:multiLevelType w:val="multilevel"/>
    <w:tmpl w:val="00000005"/>
    <w:lvl w:ilvl="0" w:tentative="0">
      <w:start w:val="1"/>
      <w:numFmt w:val="bullet"/>
      <w:pStyle w:val="205"/>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3">
    <w:nsid w:val="00000006"/>
    <w:multiLevelType w:val="singleLevel"/>
    <w:tmpl w:val="00000006"/>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07"/>
    <w:multiLevelType w:val="multilevel"/>
    <w:tmpl w:val="00000007"/>
    <w:lvl w:ilvl="0" w:tentative="0">
      <w:start w:val="1"/>
      <w:numFmt w:val="bullet"/>
      <w:pStyle w:val="147"/>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31"/>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A"/>
    <w:multiLevelType w:val="multilevel"/>
    <w:tmpl w:val="0000000A"/>
    <w:lvl w:ilvl="0" w:tentative="0">
      <w:start w:val="8"/>
      <w:numFmt w:val="decimal"/>
      <w:pStyle w:val="171"/>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211"/>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12"/>
    <w:multiLevelType w:val="singleLevel"/>
    <w:tmpl w:val="00000012"/>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9">
    <w:nsid w:val="00000013"/>
    <w:multiLevelType w:val="multilevel"/>
    <w:tmpl w:val="00000013"/>
    <w:lvl w:ilvl="0" w:tentative="0">
      <w:start w:val="1"/>
      <w:numFmt w:val="bullet"/>
      <w:pStyle w:val="104"/>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5"/>
    <w:multiLevelType w:val="multilevel"/>
    <w:tmpl w:val="00000015"/>
    <w:lvl w:ilvl="0" w:tentative="0">
      <w:start w:val="1"/>
      <w:numFmt w:val="decimal"/>
      <w:pStyle w:val="118"/>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singleLevel"/>
    <w:tmpl w:val="00000016"/>
    <w:lvl w:ilvl="0" w:tentative="0">
      <w:start w:val="1"/>
      <w:numFmt w:val="bullet"/>
      <w:pStyle w:val="158"/>
      <w:lvlText w:val=""/>
      <w:lvlJc w:val="left"/>
      <w:pPr>
        <w:tabs>
          <w:tab w:val="left" w:pos="360"/>
        </w:tabs>
        <w:ind w:left="360" w:hanging="360"/>
      </w:pPr>
      <w:rPr>
        <w:rFonts w:hint="default" w:ascii="Wingdings" w:hAnsi="Wingdings"/>
      </w:rPr>
    </w:lvl>
  </w:abstractNum>
  <w:abstractNum w:abstractNumId="12">
    <w:nsid w:val="00000017"/>
    <w:multiLevelType w:val="singleLevel"/>
    <w:tmpl w:val="00000017"/>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13">
    <w:nsid w:val="00000019"/>
    <w:multiLevelType w:val="singleLevel"/>
    <w:tmpl w:val="00000019"/>
    <w:lvl w:ilvl="0" w:tentative="0">
      <w:start w:val="1"/>
      <w:numFmt w:val="decimal"/>
      <w:pStyle w:val="136"/>
      <w:lvlText w:val="%1)"/>
      <w:lvlJc w:val="left"/>
      <w:pPr>
        <w:tabs>
          <w:tab w:val="left" w:pos="425"/>
        </w:tabs>
        <w:ind w:left="425" w:hanging="425"/>
      </w:pPr>
      <w:rPr>
        <w:rFonts w:hint="eastAsia"/>
      </w:rPr>
    </w:lvl>
  </w:abstractNum>
  <w:abstractNum w:abstractNumId="14">
    <w:nsid w:val="0000001A"/>
    <w:multiLevelType w:val="multilevel"/>
    <w:tmpl w:val="0000001A"/>
    <w:lvl w:ilvl="0" w:tentative="0">
      <w:start w:val="1"/>
      <w:numFmt w:val="decimal"/>
      <w:pStyle w:val="20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chineseCountingThousand"/>
      <w:pStyle w:val="120"/>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3"/>
  </w:num>
  <w:num w:numId="4">
    <w:abstractNumId w:val="12"/>
  </w:num>
  <w:num w:numId="5">
    <w:abstractNumId w:val="8"/>
  </w:num>
  <w:num w:numId="6">
    <w:abstractNumId w:val="9"/>
  </w:num>
  <w:num w:numId="7">
    <w:abstractNumId w:val="10"/>
  </w:num>
  <w:num w:numId="8">
    <w:abstractNumId w:val="15"/>
  </w:num>
  <w:num w:numId="9">
    <w:abstractNumId w:val="6"/>
  </w:num>
  <w:num w:numId="10">
    <w:abstractNumId w:val="13"/>
  </w:num>
  <w:num w:numId="11">
    <w:abstractNumId w:val="4"/>
  </w:num>
  <w:num w:numId="12">
    <w:abstractNumId w:val="11"/>
  </w:num>
  <w:num w:numId="13">
    <w:abstractNumId w:val="7"/>
  </w:num>
  <w:num w:numId="14">
    <w:abstractNumId w:val="1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hyphenationZone w:val="36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ZDkxNzFkNjI1OTgxMzlhMWUxMjM0N2IyZjNlNjMifQ=="/>
  </w:docVars>
  <w:rsids>
    <w:rsidRoot w:val="00172A27"/>
    <w:rsid w:val="00003081"/>
    <w:rsid w:val="000035C2"/>
    <w:rsid w:val="000041F9"/>
    <w:rsid w:val="00007562"/>
    <w:rsid w:val="0001117E"/>
    <w:rsid w:val="0001160C"/>
    <w:rsid w:val="00011AF1"/>
    <w:rsid w:val="00013970"/>
    <w:rsid w:val="00015C72"/>
    <w:rsid w:val="0001664C"/>
    <w:rsid w:val="000173CA"/>
    <w:rsid w:val="000211E2"/>
    <w:rsid w:val="00025210"/>
    <w:rsid w:val="00026551"/>
    <w:rsid w:val="000269C4"/>
    <w:rsid w:val="00026E40"/>
    <w:rsid w:val="0002742C"/>
    <w:rsid w:val="0003046E"/>
    <w:rsid w:val="00030FE5"/>
    <w:rsid w:val="0003104E"/>
    <w:rsid w:val="0003192B"/>
    <w:rsid w:val="00031ADD"/>
    <w:rsid w:val="000341B4"/>
    <w:rsid w:val="00034A67"/>
    <w:rsid w:val="00034EDF"/>
    <w:rsid w:val="000363FB"/>
    <w:rsid w:val="0003767C"/>
    <w:rsid w:val="000376BA"/>
    <w:rsid w:val="000404BF"/>
    <w:rsid w:val="000416F5"/>
    <w:rsid w:val="00041CF6"/>
    <w:rsid w:val="00042250"/>
    <w:rsid w:val="00042CBD"/>
    <w:rsid w:val="00043311"/>
    <w:rsid w:val="0004367E"/>
    <w:rsid w:val="00043A5F"/>
    <w:rsid w:val="000453FD"/>
    <w:rsid w:val="00046BFD"/>
    <w:rsid w:val="00050118"/>
    <w:rsid w:val="00050262"/>
    <w:rsid w:val="00050BC1"/>
    <w:rsid w:val="00050C31"/>
    <w:rsid w:val="00052EB9"/>
    <w:rsid w:val="00053426"/>
    <w:rsid w:val="000547B5"/>
    <w:rsid w:val="00054FE8"/>
    <w:rsid w:val="000552CE"/>
    <w:rsid w:val="00056058"/>
    <w:rsid w:val="000601CE"/>
    <w:rsid w:val="00060807"/>
    <w:rsid w:val="00064AFB"/>
    <w:rsid w:val="00064ECD"/>
    <w:rsid w:val="0006572E"/>
    <w:rsid w:val="000669E9"/>
    <w:rsid w:val="0006747E"/>
    <w:rsid w:val="00067C36"/>
    <w:rsid w:val="00067CAD"/>
    <w:rsid w:val="0007170D"/>
    <w:rsid w:val="00071765"/>
    <w:rsid w:val="000738D8"/>
    <w:rsid w:val="00075520"/>
    <w:rsid w:val="00075688"/>
    <w:rsid w:val="0007599B"/>
    <w:rsid w:val="00075A0D"/>
    <w:rsid w:val="00075F69"/>
    <w:rsid w:val="00082DA6"/>
    <w:rsid w:val="000831DD"/>
    <w:rsid w:val="00083928"/>
    <w:rsid w:val="00087488"/>
    <w:rsid w:val="00087978"/>
    <w:rsid w:val="00092E7C"/>
    <w:rsid w:val="000946BD"/>
    <w:rsid w:val="00094811"/>
    <w:rsid w:val="00094D91"/>
    <w:rsid w:val="00094F24"/>
    <w:rsid w:val="000960FB"/>
    <w:rsid w:val="000A17CE"/>
    <w:rsid w:val="000A23F2"/>
    <w:rsid w:val="000A375E"/>
    <w:rsid w:val="000A59A1"/>
    <w:rsid w:val="000A6A6A"/>
    <w:rsid w:val="000B1F55"/>
    <w:rsid w:val="000B2716"/>
    <w:rsid w:val="000B4D22"/>
    <w:rsid w:val="000B5A25"/>
    <w:rsid w:val="000B6C98"/>
    <w:rsid w:val="000B7120"/>
    <w:rsid w:val="000B7198"/>
    <w:rsid w:val="000B7C87"/>
    <w:rsid w:val="000C0D2D"/>
    <w:rsid w:val="000C2017"/>
    <w:rsid w:val="000C26EA"/>
    <w:rsid w:val="000C2741"/>
    <w:rsid w:val="000C459C"/>
    <w:rsid w:val="000C4D8E"/>
    <w:rsid w:val="000C4E49"/>
    <w:rsid w:val="000C5112"/>
    <w:rsid w:val="000C5CB8"/>
    <w:rsid w:val="000C6523"/>
    <w:rsid w:val="000C67D1"/>
    <w:rsid w:val="000C7554"/>
    <w:rsid w:val="000C7CE5"/>
    <w:rsid w:val="000D0924"/>
    <w:rsid w:val="000D2C6A"/>
    <w:rsid w:val="000D53E0"/>
    <w:rsid w:val="000D69A3"/>
    <w:rsid w:val="000D6CF3"/>
    <w:rsid w:val="000E2644"/>
    <w:rsid w:val="000E43DC"/>
    <w:rsid w:val="000E5E16"/>
    <w:rsid w:val="000E5E6A"/>
    <w:rsid w:val="000F04EB"/>
    <w:rsid w:val="000F16AA"/>
    <w:rsid w:val="000F176A"/>
    <w:rsid w:val="000F3D7A"/>
    <w:rsid w:val="000F4AE4"/>
    <w:rsid w:val="000F4CBC"/>
    <w:rsid w:val="000F4CDB"/>
    <w:rsid w:val="000F7EE9"/>
    <w:rsid w:val="00104146"/>
    <w:rsid w:val="0010567D"/>
    <w:rsid w:val="00106732"/>
    <w:rsid w:val="00106E11"/>
    <w:rsid w:val="001103D7"/>
    <w:rsid w:val="00110AA3"/>
    <w:rsid w:val="00111732"/>
    <w:rsid w:val="0011194D"/>
    <w:rsid w:val="00111DC4"/>
    <w:rsid w:val="00112576"/>
    <w:rsid w:val="00112E0E"/>
    <w:rsid w:val="00112FB3"/>
    <w:rsid w:val="001131CE"/>
    <w:rsid w:val="00115DF3"/>
    <w:rsid w:val="001169D8"/>
    <w:rsid w:val="00117DA9"/>
    <w:rsid w:val="001202EE"/>
    <w:rsid w:val="00120B9F"/>
    <w:rsid w:val="0012123A"/>
    <w:rsid w:val="00126D59"/>
    <w:rsid w:val="00127ADE"/>
    <w:rsid w:val="00132E5E"/>
    <w:rsid w:val="001334A4"/>
    <w:rsid w:val="001335A9"/>
    <w:rsid w:val="00134489"/>
    <w:rsid w:val="00135250"/>
    <w:rsid w:val="001357FA"/>
    <w:rsid w:val="00136383"/>
    <w:rsid w:val="001407F6"/>
    <w:rsid w:val="001417A2"/>
    <w:rsid w:val="0014315B"/>
    <w:rsid w:val="00143B69"/>
    <w:rsid w:val="001460AB"/>
    <w:rsid w:val="00147ADA"/>
    <w:rsid w:val="001528E5"/>
    <w:rsid w:val="0015454F"/>
    <w:rsid w:val="001549AC"/>
    <w:rsid w:val="0015503E"/>
    <w:rsid w:val="001551FD"/>
    <w:rsid w:val="00155B61"/>
    <w:rsid w:val="00160592"/>
    <w:rsid w:val="00161645"/>
    <w:rsid w:val="001666CD"/>
    <w:rsid w:val="00170549"/>
    <w:rsid w:val="00170573"/>
    <w:rsid w:val="001705B0"/>
    <w:rsid w:val="00170DD2"/>
    <w:rsid w:val="0017117D"/>
    <w:rsid w:val="00173AC0"/>
    <w:rsid w:val="001740DF"/>
    <w:rsid w:val="00176644"/>
    <w:rsid w:val="0017664B"/>
    <w:rsid w:val="00176E99"/>
    <w:rsid w:val="001771FA"/>
    <w:rsid w:val="001816AB"/>
    <w:rsid w:val="00185DA5"/>
    <w:rsid w:val="001864B0"/>
    <w:rsid w:val="00191A35"/>
    <w:rsid w:val="0019259D"/>
    <w:rsid w:val="00192CC9"/>
    <w:rsid w:val="00192FE4"/>
    <w:rsid w:val="00193B7E"/>
    <w:rsid w:val="0019542F"/>
    <w:rsid w:val="00196118"/>
    <w:rsid w:val="00197938"/>
    <w:rsid w:val="00197994"/>
    <w:rsid w:val="00197B64"/>
    <w:rsid w:val="001A0940"/>
    <w:rsid w:val="001A3BD3"/>
    <w:rsid w:val="001A3FFA"/>
    <w:rsid w:val="001A460C"/>
    <w:rsid w:val="001B22B6"/>
    <w:rsid w:val="001B2EC3"/>
    <w:rsid w:val="001B5C6C"/>
    <w:rsid w:val="001B5E8F"/>
    <w:rsid w:val="001B7802"/>
    <w:rsid w:val="001C2EA6"/>
    <w:rsid w:val="001C3CFE"/>
    <w:rsid w:val="001C4452"/>
    <w:rsid w:val="001C5DB5"/>
    <w:rsid w:val="001D2B74"/>
    <w:rsid w:val="001D3B7E"/>
    <w:rsid w:val="001D6033"/>
    <w:rsid w:val="001D6212"/>
    <w:rsid w:val="001D676C"/>
    <w:rsid w:val="001E04F1"/>
    <w:rsid w:val="001E078F"/>
    <w:rsid w:val="001E10A6"/>
    <w:rsid w:val="001E1B82"/>
    <w:rsid w:val="001E2357"/>
    <w:rsid w:val="001E3106"/>
    <w:rsid w:val="001E3569"/>
    <w:rsid w:val="001E48B7"/>
    <w:rsid w:val="001E4F32"/>
    <w:rsid w:val="001F22E3"/>
    <w:rsid w:val="001F4550"/>
    <w:rsid w:val="001F4A27"/>
    <w:rsid w:val="001F4BC1"/>
    <w:rsid w:val="001F4E80"/>
    <w:rsid w:val="001F509C"/>
    <w:rsid w:val="001F66A0"/>
    <w:rsid w:val="001F6885"/>
    <w:rsid w:val="001F763D"/>
    <w:rsid w:val="001F7AC6"/>
    <w:rsid w:val="00200B7E"/>
    <w:rsid w:val="0020107D"/>
    <w:rsid w:val="002015EE"/>
    <w:rsid w:val="00201B6C"/>
    <w:rsid w:val="00202EDA"/>
    <w:rsid w:val="00203A73"/>
    <w:rsid w:val="00205DF2"/>
    <w:rsid w:val="00207930"/>
    <w:rsid w:val="002104C1"/>
    <w:rsid w:val="00210A7F"/>
    <w:rsid w:val="0021125A"/>
    <w:rsid w:val="00211863"/>
    <w:rsid w:val="002126C7"/>
    <w:rsid w:val="00212FC6"/>
    <w:rsid w:val="00214807"/>
    <w:rsid w:val="0021492D"/>
    <w:rsid w:val="002172B6"/>
    <w:rsid w:val="0021730B"/>
    <w:rsid w:val="00217DB6"/>
    <w:rsid w:val="00221286"/>
    <w:rsid w:val="0022305C"/>
    <w:rsid w:val="00223B03"/>
    <w:rsid w:val="0022484A"/>
    <w:rsid w:val="00224AD6"/>
    <w:rsid w:val="00225E87"/>
    <w:rsid w:val="0022711C"/>
    <w:rsid w:val="00227B75"/>
    <w:rsid w:val="00230634"/>
    <w:rsid w:val="00232984"/>
    <w:rsid w:val="00232D8E"/>
    <w:rsid w:val="00233062"/>
    <w:rsid w:val="00233479"/>
    <w:rsid w:val="00233AFE"/>
    <w:rsid w:val="00234F08"/>
    <w:rsid w:val="00235C7A"/>
    <w:rsid w:val="0023603F"/>
    <w:rsid w:val="0023682B"/>
    <w:rsid w:val="00237509"/>
    <w:rsid w:val="002420D7"/>
    <w:rsid w:val="00242D47"/>
    <w:rsid w:val="0024357D"/>
    <w:rsid w:val="00243691"/>
    <w:rsid w:val="00243E38"/>
    <w:rsid w:val="00243E7C"/>
    <w:rsid w:val="00243F20"/>
    <w:rsid w:val="00244D34"/>
    <w:rsid w:val="002506A0"/>
    <w:rsid w:val="00252043"/>
    <w:rsid w:val="00252999"/>
    <w:rsid w:val="0025308A"/>
    <w:rsid w:val="0025380F"/>
    <w:rsid w:val="00254300"/>
    <w:rsid w:val="00254306"/>
    <w:rsid w:val="0025534A"/>
    <w:rsid w:val="002555FD"/>
    <w:rsid w:val="002562B0"/>
    <w:rsid w:val="00257DBF"/>
    <w:rsid w:val="00260E90"/>
    <w:rsid w:val="00262267"/>
    <w:rsid w:val="00263539"/>
    <w:rsid w:val="002638AA"/>
    <w:rsid w:val="00264AE1"/>
    <w:rsid w:val="00264B58"/>
    <w:rsid w:val="0026542B"/>
    <w:rsid w:val="00267FCC"/>
    <w:rsid w:val="00270098"/>
    <w:rsid w:val="00271A17"/>
    <w:rsid w:val="00274247"/>
    <w:rsid w:val="0027780B"/>
    <w:rsid w:val="0028066C"/>
    <w:rsid w:val="002823E3"/>
    <w:rsid w:val="00282D9C"/>
    <w:rsid w:val="002833CF"/>
    <w:rsid w:val="00283C2F"/>
    <w:rsid w:val="0029022C"/>
    <w:rsid w:val="00291337"/>
    <w:rsid w:val="00292FFA"/>
    <w:rsid w:val="00293339"/>
    <w:rsid w:val="002933AD"/>
    <w:rsid w:val="00294D26"/>
    <w:rsid w:val="002955C1"/>
    <w:rsid w:val="002964AE"/>
    <w:rsid w:val="00296D24"/>
    <w:rsid w:val="0029711E"/>
    <w:rsid w:val="002A007E"/>
    <w:rsid w:val="002A2452"/>
    <w:rsid w:val="002A2547"/>
    <w:rsid w:val="002A27E1"/>
    <w:rsid w:val="002A2A1D"/>
    <w:rsid w:val="002A2E76"/>
    <w:rsid w:val="002A6534"/>
    <w:rsid w:val="002B1864"/>
    <w:rsid w:val="002B492E"/>
    <w:rsid w:val="002B5230"/>
    <w:rsid w:val="002B5C44"/>
    <w:rsid w:val="002B5F17"/>
    <w:rsid w:val="002B64F3"/>
    <w:rsid w:val="002C1332"/>
    <w:rsid w:val="002C2CE9"/>
    <w:rsid w:val="002C3CC7"/>
    <w:rsid w:val="002C5AD6"/>
    <w:rsid w:val="002C6DEB"/>
    <w:rsid w:val="002C7546"/>
    <w:rsid w:val="002C7F2B"/>
    <w:rsid w:val="002D05DB"/>
    <w:rsid w:val="002D2B6D"/>
    <w:rsid w:val="002D5E96"/>
    <w:rsid w:val="002D62D6"/>
    <w:rsid w:val="002D6DB2"/>
    <w:rsid w:val="002E05A6"/>
    <w:rsid w:val="002E0922"/>
    <w:rsid w:val="002E1597"/>
    <w:rsid w:val="002E266D"/>
    <w:rsid w:val="002E2877"/>
    <w:rsid w:val="002E50F7"/>
    <w:rsid w:val="002E6DFA"/>
    <w:rsid w:val="002E740C"/>
    <w:rsid w:val="002E7799"/>
    <w:rsid w:val="002E7B73"/>
    <w:rsid w:val="002F145C"/>
    <w:rsid w:val="002F2DB5"/>
    <w:rsid w:val="002F2FDD"/>
    <w:rsid w:val="002F5CA8"/>
    <w:rsid w:val="002F5EEF"/>
    <w:rsid w:val="002F6501"/>
    <w:rsid w:val="002F7A43"/>
    <w:rsid w:val="002F7E32"/>
    <w:rsid w:val="003026D6"/>
    <w:rsid w:val="003027CF"/>
    <w:rsid w:val="003031EA"/>
    <w:rsid w:val="00304142"/>
    <w:rsid w:val="00304228"/>
    <w:rsid w:val="0030491A"/>
    <w:rsid w:val="003056D7"/>
    <w:rsid w:val="00307E0B"/>
    <w:rsid w:val="00310430"/>
    <w:rsid w:val="003106B0"/>
    <w:rsid w:val="003108CC"/>
    <w:rsid w:val="00310F45"/>
    <w:rsid w:val="00312165"/>
    <w:rsid w:val="0031256C"/>
    <w:rsid w:val="003142D6"/>
    <w:rsid w:val="00316D8C"/>
    <w:rsid w:val="00317B95"/>
    <w:rsid w:val="00322683"/>
    <w:rsid w:val="00324DDA"/>
    <w:rsid w:val="00324E40"/>
    <w:rsid w:val="0032543C"/>
    <w:rsid w:val="003256D5"/>
    <w:rsid w:val="00333468"/>
    <w:rsid w:val="00334B59"/>
    <w:rsid w:val="00334BD7"/>
    <w:rsid w:val="00336E64"/>
    <w:rsid w:val="00337A76"/>
    <w:rsid w:val="00340000"/>
    <w:rsid w:val="003405CC"/>
    <w:rsid w:val="0034198D"/>
    <w:rsid w:val="00342C15"/>
    <w:rsid w:val="00346477"/>
    <w:rsid w:val="00346912"/>
    <w:rsid w:val="00352A83"/>
    <w:rsid w:val="00353614"/>
    <w:rsid w:val="00355D33"/>
    <w:rsid w:val="003600CC"/>
    <w:rsid w:val="00360B8F"/>
    <w:rsid w:val="00362B98"/>
    <w:rsid w:val="003641F7"/>
    <w:rsid w:val="00364A36"/>
    <w:rsid w:val="00364E18"/>
    <w:rsid w:val="0036503A"/>
    <w:rsid w:val="003670E3"/>
    <w:rsid w:val="00367785"/>
    <w:rsid w:val="0037169E"/>
    <w:rsid w:val="00371BDE"/>
    <w:rsid w:val="00372725"/>
    <w:rsid w:val="00373595"/>
    <w:rsid w:val="00374103"/>
    <w:rsid w:val="00374B85"/>
    <w:rsid w:val="0038567A"/>
    <w:rsid w:val="0038730F"/>
    <w:rsid w:val="00387968"/>
    <w:rsid w:val="003902F6"/>
    <w:rsid w:val="00391059"/>
    <w:rsid w:val="003912B0"/>
    <w:rsid w:val="00396D3F"/>
    <w:rsid w:val="00397054"/>
    <w:rsid w:val="003A1238"/>
    <w:rsid w:val="003A1A19"/>
    <w:rsid w:val="003A3B71"/>
    <w:rsid w:val="003A4406"/>
    <w:rsid w:val="003A4636"/>
    <w:rsid w:val="003A4C44"/>
    <w:rsid w:val="003A56F1"/>
    <w:rsid w:val="003A6E9D"/>
    <w:rsid w:val="003B3E90"/>
    <w:rsid w:val="003B440F"/>
    <w:rsid w:val="003B5D73"/>
    <w:rsid w:val="003C3141"/>
    <w:rsid w:val="003C3220"/>
    <w:rsid w:val="003C3995"/>
    <w:rsid w:val="003C4927"/>
    <w:rsid w:val="003C6745"/>
    <w:rsid w:val="003C69A8"/>
    <w:rsid w:val="003C6BF9"/>
    <w:rsid w:val="003C7DC2"/>
    <w:rsid w:val="003D05EC"/>
    <w:rsid w:val="003D0992"/>
    <w:rsid w:val="003D0FE8"/>
    <w:rsid w:val="003D1581"/>
    <w:rsid w:val="003D1F45"/>
    <w:rsid w:val="003D2177"/>
    <w:rsid w:val="003D3132"/>
    <w:rsid w:val="003D3E94"/>
    <w:rsid w:val="003D52AA"/>
    <w:rsid w:val="003D52AD"/>
    <w:rsid w:val="003D58AC"/>
    <w:rsid w:val="003D637A"/>
    <w:rsid w:val="003D6414"/>
    <w:rsid w:val="003E12C6"/>
    <w:rsid w:val="003E1BBF"/>
    <w:rsid w:val="003E5E95"/>
    <w:rsid w:val="003E632C"/>
    <w:rsid w:val="003E6891"/>
    <w:rsid w:val="003E6938"/>
    <w:rsid w:val="003F11CF"/>
    <w:rsid w:val="003F2CFF"/>
    <w:rsid w:val="003F3268"/>
    <w:rsid w:val="003F3880"/>
    <w:rsid w:val="003F414A"/>
    <w:rsid w:val="003F47A9"/>
    <w:rsid w:val="003F515E"/>
    <w:rsid w:val="003F5BC7"/>
    <w:rsid w:val="003F710E"/>
    <w:rsid w:val="004005C5"/>
    <w:rsid w:val="0040154D"/>
    <w:rsid w:val="00401A92"/>
    <w:rsid w:val="00401ED9"/>
    <w:rsid w:val="00404B74"/>
    <w:rsid w:val="0040502F"/>
    <w:rsid w:val="004050D7"/>
    <w:rsid w:val="00405F21"/>
    <w:rsid w:val="00407682"/>
    <w:rsid w:val="0040799A"/>
    <w:rsid w:val="004101B8"/>
    <w:rsid w:val="00410D7B"/>
    <w:rsid w:val="00410D92"/>
    <w:rsid w:val="0041117F"/>
    <w:rsid w:val="004112AF"/>
    <w:rsid w:val="00411C41"/>
    <w:rsid w:val="00412AAD"/>
    <w:rsid w:val="00412E35"/>
    <w:rsid w:val="004135CB"/>
    <w:rsid w:val="00414D61"/>
    <w:rsid w:val="00415899"/>
    <w:rsid w:val="00416433"/>
    <w:rsid w:val="00417061"/>
    <w:rsid w:val="00417F9A"/>
    <w:rsid w:val="00420AE0"/>
    <w:rsid w:val="00420C1A"/>
    <w:rsid w:val="00420DD3"/>
    <w:rsid w:val="0042267F"/>
    <w:rsid w:val="00422C09"/>
    <w:rsid w:val="00422D7D"/>
    <w:rsid w:val="004232EC"/>
    <w:rsid w:val="00423C78"/>
    <w:rsid w:val="004243EC"/>
    <w:rsid w:val="00425683"/>
    <w:rsid w:val="00425856"/>
    <w:rsid w:val="00425B08"/>
    <w:rsid w:val="00426B6A"/>
    <w:rsid w:val="00427930"/>
    <w:rsid w:val="004307B6"/>
    <w:rsid w:val="00430984"/>
    <w:rsid w:val="0043179A"/>
    <w:rsid w:val="00435742"/>
    <w:rsid w:val="00436D46"/>
    <w:rsid w:val="00437FD4"/>
    <w:rsid w:val="00442474"/>
    <w:rsid w:val="004424E1"/>
    <w:rsid w:val="0044361E"/>
    <w:rsid w:val="004439AE"/>
    <w:rsid w:val="00445C16"/>
    <w:rsid w:val="004477BB"/>
    <w:rsid w:val="0045181E"/>
    <w:rsid w:val="004523DE"/>
    <w:rsid w:val="0045590E"/>
    <w:rsid w:val="004602D0"/>
    <w:rsid w:val="00460AC2"/>
    <w:rsid w:val="00460B17"/>
    <w:rsid w:val="00460F0B"/>
    <w:rsid w:val="004626FD"/>
    <w:rsid w:val="00463EEE"/>
    <w:rsid w:val="0046464E"/>
    <w:rsid w:val="00464E23"/>
    <w:rsid w:val="0046581F"/>
    <w:rsid w:val="00470E83"/>
    <w:rsid w:val="004732DC"/>
    <w:rsid w:val="004738B7"/>
    <w:rsid w:val="00475385"/>
    <w:rsid w:val="00475E42"/>
    <w:rsid w:val="00476E2D"/>
    <w:rsid w:val="00477348"/>
    <w:rsid w:val="004806B2"/>
    <w:rsid w:val="00481C06"/>
    <w:rsid w:val="00482A9A"/>
    <w:rsid w:val="0048396B"/>
    <w:rsid w:val="004844E4"/>
    <w:rsid w:val="00485174"/>
    <w:rsid w:val="004854E6"/>
    <w:rsid w:val="00486F70"/>
    <w:rsid w:val="00487CDA"/>
    <w:rsid w:val="00491402"/>
    <w:rsid w:val="00492B45"/>
    <w:rsid w:val="004930E0"/>
    <w:rsid w:val="0049373E"/>
    <w:rsid w:val="004956D6"/>
    <w:rsid w:val="004958A1"/>
    <w:rsid w:val="0049711E"/>
    <w:rsid w:val="004978F0"/>
    <w:rsid w:val="004A0052"/>
    <w:rsid w:val="004A00B5"/>
    <w:rsid w:val="004A0B25"/>
    <w:rsid w:val="004A263F"/>
    <w:rsid w:val="004A2AD5"/>
    <w:rsid w:val="004A3292"/>
    <w:rsid w:val="004A3CE3"/>
    <w:rsid w:val="004A4696"/>
    <w:rsid w:val="004A7485"/>
    <w:rsid w:val="004A7CEF"/>
    <w:rsid w:val="004B14DE"/>
    <w:rsid w:val="004B1CF5"/>
    <w:rsid w:val="004B2EA5"/>
    <w:rsid w:val="004B4325"/>
    <w:rsid w:val="004B4C62"/>
    <w:rsid w:val="004B636D"/>
    <w:rsid w:val="004C166E"/>
    <w:rsid w:val="004C1C91"/>
    <w:rsid w:val="004C1FC5"/>
    <w:rsid w:val="004C2A6E"/>
    <w:rsid w:val="004C5DA4"/>
    <w:rsid w:val="004C691F"/>
    <w:rsid w:val="004C7873"/>
    <w:rsid w:val="004D009E"/>
    <w:rsid w:val="004D1545"/>
    <w:rsid w:val="004D267F"/>
    <w:rsid w:val="004D2FA7"/>
    <w:rsid w:val="004D343F"/>
    <w:rsid w:val="004D34C0"/>
    <w:rsid w:val="004D691B"/>
    <w:rsid w:val="004D776A"/>
    <w:rsid w:val="004E0D39"/>
    <w:rsid w:val="004E11F9"/>
    <w:rsid w:val="004E236F"/>
    <w:rsid w:val="004E257E"/>
    <w:rsid w:val="004E5B35"/>
    <w:rsid w:val="004E68CC"/>
    <w:rsid w:val="004E793F"/>
    <w:rsid w:val="004F06BD"/>
    <w:rsid w:val="004F0784"/>
    <w:rsid w:val="004F3472"/>
    <w:rsid w:val="004F382C"/>
    <w:rsid w:val="004F3AEA"/>
    <w:rsid w:val="004F4877"/>
    <w:rsid w:val="004F4FA9"/>
    <w:rsid w:val="004F5E4D"/>
    <w:rsid w:val="004F6AC2"/>
    <w:rsid w:val="004F7795"/>
    <w:rsid w:val="00500533"/>
    <w:rsid w:val="005008D2"/>
    <w:rsid w:val="005016D9"/>
    <w:rsid w:val="00502629"/>
    <w:rsid w:val="00504FA3"/>
    <w:rsid w:val="00506625"/>
    <w:rsid w:val="0051057F"/>
    <w:rsid w:val="00510729"/>
    <w:rsid w:val="00511370"/>
    <w:rsid w:val="00511A4B"/>
    <w:rsid w:val="00511EF6"/>
    <w:rsid w:val="00513CBD"/>
    <w:rsid w:val="00513FA3"/>
    <w:rsid w:val="00522AD9"/>
    <w:rsid w:val="005241F4"/>
    <w:rsid w:val="0052541C"/>
    <w:rsid w:val="00525E4A"/>
    <w:rsid w:val="005268EC"/>
    <w:rsid w:val="005303DE"/>
    <w:rsid w:val="00530B87"/>
    <w:rsid w:val="005328D9"/>
    <w:rsid w:val="00533B8A"/>
    <w:rsid w:val="00534578"/>
    <w:rsid w:val="00534594"/>
    <w:rsid w:val="005358FF"/>
    <w:rsid w:val="00535CDB"/>
    <w:rsid w:val="005367D4"/>
    <w:rsid w:val="005369A8"/>
    <w:rsid w:val="00537FE5"/>
    <w:rsid w:val="005410A9"/>
    <w:rsid w:val="00541231"/>
    <w:rsid w:val="00541DFF"/>
    <w:rsid w:val="0054251E"/>
    <w:rsid w:val="00542FE5"/>
    <w:rsid w:val="00543016"/>
    <w:rsid w:val="00543B3D"/>
    <w:rsid w:val="00543B76"/>
    <w:rsid w:val="0054585B"/>
    <w:rsid w:val="005460B8"/>
    <w:rsid w:val="00546C36"/>
    <w:rsid w:val="00546F12"/>
    <w:rsid w:val="00552C47"/>
    <w:rsid w:val="00554913"/>
    <w:rsid w:val="005552CA"/>
    <w:rsid w:val="00555977"/>
    <w:rsid w:val="00562CE1"/>
    <w:rsid w:val="00563359"/>
    <w:rsid w:val="00563BEF"/>
    <w:rsid w:val="005645D3"/>
    <w:rsid w:val="005703DC"/>
    <w:rsid w:val="00571310"/>
    <w:rsid w:val="00572731"/>
    <w:rsid w:val="00574CD9"/>
    <w:rsid w:val="00582DB8"/>
    <w:rsid w:val="0058577C"/>
    <w:rsid w:val="00585FEB"/>
    <w:rsid w:val="00587496"/>
    <w:rsid w:val="005875E1"/>
    <w:rsid w:val="00590881"/>
    <w:rsid w:val="00590C99"/>
    <w:rsid w:val="0059247E"/>
    <w:rsid w:val="00593258"/>
    <w:rsid w:val="00593BEF"/>
    <w:rsid w:val="00594B89"/>
    <w:rsid w:val="0059573D"/>
    <w:rsid w:val="005964B5"/>
    <w:rsid w:val="0059784D"/>
    <w:rsid w:val="005A0009"/>
    <w:rsid w:val="005A000F"/>
    <w:rsid w:val="005A0EDA"/>
    <w:rsid w:val="005A101A"/>
    <w:rsid w:val="005A1900"/>
    <w:rsid w:val="005A267A"/>
    <w:rsid w:val="005A27F1"/>
    <w:rsid w:val="005A3FB4"/>
    <w:rsid w:val="005A6F28"/>
    <w:rsid w:val="005A7548"/>
    <w:rsid w:val="005B07FE"/>
    <w:rsid w:val="005B082D"/>
    <w:rsid w:val="005B1829"/>
    <w:rsid w:val="005B19C5"/>
    <w:rsid w:val="005B26AB"/>
    <w:rsid w:val="005B4238"/>
    <w:rsid w:val="005C02DE"/>
    <w:rsid w:val="005C1176"/>
    <w:rsid w:val="005C16ED"/>
    <w:rsid w:val="005C325D"/>
    <w:rsid w:val="005C3A7B"/>
    <w:rsid w:val="005C5ABE"/>
    <w:rsid w:val="005C5B05"/>
    <w:rsid w:val="005D0F60"/>
    <w:rsid w:val="005D13B6"/>
    <w:rsid w:val="005D1927"/>
    <w:rsid w:val="005D2583"/>
    <w:rsid w:val="005D2F52"/>
    <w:rsid w:val="005D42E7"/>
    <w:rsid w:val="005D4DBF"/>
    <w:rsid w:val="005D54A8"/>
    <w:rsid w:val="005D6D82"/>
    <w:rsid w:val="005D7685"/>
    <w:rsid w:val="005E12B4"/>
    <w:rsid w:val="005E2AC8"/>
    <w:rsid w:val="005E3C93"/>
    <w:rsid w:val="005E5C91"/>
    <w:rsid w:val="005E7B12"/>
    <w:rsid w:val="005F247C"/>
    <w:rsid w:val="005F3A2B"/>
    <w:rsid w:val="005F5262"/>
    <w:rsid w:val="005F65A7"/>
    <w:rsid w:val="006007B9"/>
    <w:rsid w:val="00600DF2"/>
    <w:rsid w:val="00601283"/>
    <w:rsid w:val="00604042"/>
    <w:rsid w:val="00604611"/>
    <w:rsid w:val="0060469C"/>
    <w:rsid w:val="006111B9"/>
    <w:rsid w:val="00611479"/>
    <w:rsid w:val="00614004"/>
    <w:rsid w:val="00616EC6"/>
    <w:rsid w:val="00617DC1"/>
    <w:rsid w:val="00617F9F"/>
    <w:rsid w:val="00621098"/>
    <w:rsid w:val="00622095"/>
    <w:rsid w:val="00623614"/>
    <w:rsid w:val="00623D4B"/>
    <w:rsid w:val="00624B72"/>
    <w:rsid w:val="00625270"/>
    <w:rsid w:val="00630B47"/>
    <w:rsid w:val="00631E3C"/>
    <w:rsid w:val="006324B7"/>
    <w:rsid w:val="00632D67"/>
    <w:rsid w:val="006366D8"/>
    <w:rsid w:val="00636C1F"/>
    <w:rsid w:val="006373CB"/>
    <w:rsid w:val="006373FF"/>
    <w:rsid w:val="006456C7"/>
    <w:rsid w:val="00650DC9"/>
    <w:rsid w:val="00652048"/>
    <w:rsid w:val="00652A96"/>
    <w:rsid w:val="00653FC4"/>
    <w:rsid w:val="006558D7"/>
    <w:rsid w:val="00655CB3"/>
    <w:rsid w:val="006560A4"/>
    <w:rsid w:val="00656209"/>
    <w:rsid w:val="0065670E"/>
    <w:rsid w:val="0065756A"/>
    <w:rsid w:val="006600A1"/>
    <w:rsid w:val="00662B94"/>
    <w:rsid w:val="0066371A"/>
    <w:rsid w:val="0066405B"/>
    <w:rsid w:val="00664514"/>
    <w:rsid w:val="0066456F"/>
    <w:rsid w:val="006661A4"/>
    <w:rsid w:val="00667C90"/>
    <w:rsid w:val="0067004A"/>
    <w:rsid w:val="006703EE"/>
    <w:rsid w:val="00672A09"/>
    <w:rsid w:val="00677C2C"/>
    <w:rsid w:val="00680EEC"/>
    <w:rsid w:val="00681D14"/>
    <w:rsid w:val="0068500D"/>
    <w:rsid w:val="00686835"/>
    <w:rsid w:val="00690187"/>
    <w:rsid w:val="00690B20"/>
    <w:rsid w:val="00692720"/>
    <w:rsid w:val="00692F29"/>
    <w:rsid w:val="00693122"/>
    <w:rsid w:val="00693D43"/>
    <w:rsid w:val="0069507C"/>
    <w:rsid w:val="006960FA"/>
    <w:rsid w:val="00696EEA"/>
    <w:rsid w:val="006A01A6"/>
    <w:rsid w:val="006A04E3"/>
    <w:rsid w:val="006A0A51"/>
    <w:rsid w:val="006A0B45"/>
    <w:rsid w:val="006A14CB"/>
    <w:rsid w:val="006A2035"/>
    <w:rsid w:val="006A27AC"/>
    <w:rsid w:val="006A3353"/>
    <w:rsid w:val="006A3DC1"/>
    <w:rsid w:val="006A7C5F"/>
    <w:rsid w:val="006B03BC"/>
    <w:rsid w:val="006B289C"/>
    <w:rsid w:val="006B3F36"/>
    <w:rsid w:val="006B3F8D"/>
    <w:rsid w:val="006B5F49"/>
    <w:rsid w:val="006B6164"/>
    <w:rsid w:val="006B6274"/>
    <w:rsid w:val="006B7D11"/>
    <w:rsid w:val="006C05D5"/>
    <w:rsid w:val="006C32BC"/>
    <w:rsid w:val="006C3FEE"/>
    <w:rsid w:val="006C4663"/>
    <w:rsid w:val="006C61ED"/>
    <w:rsid w:val="006D00DD"/>
    <w:rsid w:val="006D0F15"/>
    <w:rsid w:val="006D19EB"/>
    <w:rsid w:val="006E02C3"/>
    <w:rsid w:val="006E1FC2"/>
    <w:rsid w:val="006E2A95"/>
    <w:rsid w:val="006E3456"/>
    <w:rsid w:val="006E3656"/>
    <w:rsid w:val="006E6113"/>
    <w:rsid w:val="006E7ADB"/>
    <w:rsid w:val="006F0BBD"/>
    <w:rsid w:val="006F1816"/>
    <w:rsid w:val="006F1A60"/>
    <w:rsid w:val="006F1C64"/>
    <w:rsid w:val="006F35B1"/>
    <w:rsid w:val="006F48F1"/>
    <w:rsid w:val="006F4D0B"/>
    <w:rsid w:val="006F6061"/>
    <w:rsid w:val="006F7B0F"/>
    <w:rsid w:val="007001F4"/>
    <w:rsid w:val="00701295"/>
    <w:rsid w:val="00702602"/>
    <w:rsid w:val="00702C95"/>
    <w:rsid w:val="007034EF"/>
    <w:rsid w:val="00703696"/>
    <w:rsid w:val="00703A49"/>
    <w:rsid w:val="00703B36"/>
    <w:rsid w:val="00704330"/>
    <w:rsid w:val="00706B6D"/>
    <w:rsid w:val="0070763E"/>
    <w:rsid w:val="00707BDC"/>
    <w:rsid w:val="00713BF4"/>
    <w:rsid w:val="00717212"/>
    <w:rsid w:val="0071737B"/>
    <w:rsid w:val="00717758"/>
    <w:rsid w:val="00717F6A"/>
    <w:rsid w:val="0072074A"/>
    <w:rsid w:val="00721FC1"/>
    <w:rsid w:val="007221D2"/>
    <w:rsid w:val="00722C71"/>
    <w:rsid w:val="00724582"/>
    <w:rsid w:val="00725BF3"/>
    <w:rsid w:val="00727BD9"/>
    <w:rsid w:val="0073100A"/>
    <w:rsid w:val="0073452E"/>
    <w:rsid w:val="00735581"/>
    <w:rsid w:val="007367D3"/>
    <w:rsid w:val="00740C4D"/>
    <w:rsid w:val="00741811"/>
    <w:rsid w:val="007424AB"/>
    <w:rsid w:val="007440E6"/>
    <w:rsid w:val="0074474A"/>
    <w:rsid w:val="00747C17"/>
    <w:rsid w:val="00747D81"/>
    <w:rsid w:val="007522BF"/>
    <w:rsid w:val="007527BF"/>
    <w:rsid w:val="00753508"/>
    <w:rsid w:val="00756F1A"/>
    <w:rsid w:val="00757139"/>
    <w:rsid w:val="007572C0"/>
    <w:rsid w:val="007603BE"/>
    <w:rsid w:val="007613AA"/>
    <w:rsid w:val="007615A8"/>
    <w:rsid w:val="00761E7F"/>
    <w:rsid w:val="007622C6"/>
    <w:rsid w:val="00762A19"/>
    <w:rsid w:val="00763811"/>
    <w:rsid w:val="007657BE"/>
    <w:rsid w:val="00767966"/>
    <w:rsid w:val="00771163"/>
    <w:rsid w:val="00774468"/>
    <w:rsid w:val="00774BA2"/>
    <w:rsid w:val="0077586D"/>
    <w:rsid w:val="00777652"/>
    <w:rsid w:val="007805F3"/>
    <w:rsid w:val="00781E90"/>
    <w:rsid w:val="00782158"/>
    <w:rsid w:val="007822CD"/>
    <w:rsid w:val="00784C85"/>
    <w:rsid w:val="00784DAF"/>
    <w:rsid w:val="0078666A"/>
    <w:rsid w:val="00786C0D"/>
    <w:rsid w:val="00786E92"/>
    <w:rsid w:val="007878D3"/>
    <w:rsid w:val="00787E98"/>
    <w:rsid w:val="0079147D"/>
    <w:rsid w:val="007918E4"/>
    <w:rsid w:val="007945E1"/>
    <w:rsid w:val="00794C3C"/>
    <w:rsid w:val="00795513"/>
    <w:rsid w:val="0079775C"/>
    <w:rsid w:val="007977A7"/>
    <w:rsid w:val="007A15B7"/>
    <w:rsid w:val="007A1D16"/>
    <w:rsid w:val="007A4D8F"/>
    <w:rsid w:val="007A6EE6"/>
    <w:rsid w:val="007A7389"/>
    <w:rsid w:val="007A7AD6"/>
    <w:rsid w:val="007B081D"/>
    <w:rsid w:val="007B08DC"/>
    <w:rsid w:val="007B1964"/>
    <w:rsid w:val="007B252B"/>
    <w:rsid w:val="007B2EF7"/>
    <w:rsid w:val="007B408F"/>
    <w:rsid w:val="007B4BF9"/>
    <w:rsid w:val="007B66B2"/>
    <w:rsid w:val="007B700D"/>
    <w:rsid w:val="007C02C9"/>
    <w:rsid w:val="007D0F2B"/>
    <w:rsid w:val="007D1CD5"/>
    <w:rsid w:val="007D3A02"/>
    <w:rsid w:val="007D50B3"/>
    <w:rsid w:val="007D5328"/>
    <w:rsid w:val="007D5DAD"/>
    <w:rsid w:val="007D60EA"/>
    <w:rsid w:val="007D758B"/>
    <w:rsid w:val="007D796B"/>
    <w:rsid w:val="007E0FF7"/>
    <w:rsid w:val="007E1F6F"/>
    <w:rsid w:val="007E21DE"/>
    <w:rsid w:val="007E4640"/>
    <w:rsid w:val="007E5536"/>
    <w:rsid w:val="007E5A4F"/>
    <w:rsid w:val="007E6825"/>
    <w:rsid w:val="007E7604"/>
    <w:rsid w:val="007F01D5"/>
    <w:rsid w:val="007F0C87"/>
    <w:rsid w:val="007F1234"/>
    <w:rsid w:val="007F13DC"/>
    <w:rsid w:val="007F416D"/>
    <w:rsid w:val="007F674A"/>
    <w:rsid w:val="007F7524"/>
    <w:rsid w:val="00800753"/>
    <w:rsid w:val="0080123C"/>
    <w:rsid w:val="00802C87"/>
    <w:rsid w:val="00802FE0"/>
    <w:rsid w:val="008052B3"/>
    <w:rsid w:val="00806887"/>
    <w:rsid w:val="00811841"/>
    <w:rsid w:val="008125E3"/>
    <w:rsid w:val="008126BC"/>
    <w:rsid w:val="00813DCB"/>
    <w:rsid w:val="00823323"/>
    <w:rsid w:val="00825626"/>
    <w:rsid w:val="00826932"/>
    <w:rsid w:val="00826ED3"/>
    <w:rsid w:val="0082795C"/>
    <w:rsid w:val="0083076F"/>
    <w:rsid w:val="00831C67"/>
    <w:rsid w:val="00831FD8"/>
    <w:rsid w:val="008356A8"/>
    <w:rsid w:val="008374B4"/>
    <w:rsid w:val="00837648"/>
    <w:rsid w:val="00842C14"/>
    <w:rsid w:val="00842F10"/>
    <w:rsid w:val="00842F44"/>
    <w:rsid w:val="00845905"/>
    <w:rsid w:val="00845CE1"/>
    <w:rsid w:val="00847063"/>
    <w:rsid w:val="008500DE"/>
    <w:rsid w:val="00850495"/>
    <w:rsid w:val="00850A3E"/>
    <w:rsid w:val="00850CEA"/>
    <w:rsid w:val="00850D47"/>
    <w:rsid w:val="008519E2"/>
    <w:rsid w:val="00852E45"/>
    <w:rsid w:val="00855306"/>
    <w:rsid w:val="008603B6"/>
    <w:rsid w:val="008608A9"/>
    <w:rsid w:val="0086235D"/>
    <w:rsid w:val="008665A5"/>
    <w:rsid w:val="00866DCA"/>
    <w:rsid w:val="008702BD"/>
    <w:rsid w:val="008708B6"/>
    <w:rsid w:val="008711D4"/>
    <w:rsid w:val="00872CE0"/>
    <w:rsid w:val="0087354B"/>
    <w:rsid w:val="00875B82"/>
    <w:rsid w:val="00876F1C"/>
    <w:rsid w:val="00880445"/>
    <w:rsid w:val="008805E7"/>
    <w:rsid w:val="008814A7"/>
    <w:rsid w:val="008846A6"/>
    <w:rsid w:val="00885CBF"/>
    <w:rsid w:val="00887D7F"/>
    <w:rsid w:val="00890086"/>
    <w:rsid w:val="008902E0"/>
    <w:rsid w:val="008927FB"/>
    <w:rsid w:val="00892821"/>
    <w:rsid w:val="00894E6E"/>
    <w:rsid w:val="00895A5F"/>
    <w:rsid w:val="00896042"/>
    <w:rsid w:val="00896849"/>
    <w:rsid w:val="00897EDF"/>
    <w:rsid w:val="008A0CEB"/>
    <w:rsid w:val="008A194B"/>
    <w:rsid w:val="008A1BAA"/>
    <w:rsid w:val="008A1DEA"/>
    <w:rsid w:val="008A2AB9"/>
    <w:rsid w:val="008A39E6"/>
    <w:rsid w:val="008A3A45"/>
    <w:rsid w:val="008A4CC3"/>
    <w:rsid w:val="008A5BD4"/>
    <w:rsid w:val="008A6DB1"/>
    <w:rsid w:val="008B1150"/>
    <w:rsid w:val="008B2E5F"/>
    <w:rsid w:val="008B3A28"/>
    <w:rsid w:val="008B4107"/>
    <w:rsid w:val="008B467D"/>
    <w:rsid w:val="008B47D8"/>
    <w:rsid w:val="008B56FD"/>
    <w:rsid w:val="008B5F37"/>
    <w:rsid w:val="008C09CC"/>
    <w:rsid w:val="008C172C"/>
    <w:rsid w:val="008C1C0D"/>
    <w:rsid w:val="008C415C"/>
    <w:rsid w:val="008C4AB0"/>
    <w:rsid w:val="008C54D0"/>
    <w:rsid w:val="008C5523"/>
    <w:rsid w:val="008C5917"/>
    <w:rsid w:val="008D0B85"/>
    <w:rsid w:val="008D2056"/>
    <w:rsid w:val="008D3059"/>
    <w:rsid w:val="008D4207"/>
    <w:rsid w:val="008D5D99"/>
    <w:rsid w:val="008D68A5"/>
    <w:rsid w:val="008E0599"/>
    <w:rsid w:val="008E0893"/>
    <w:rsid w:val="008E0D1B"/>
    <w:rsid w:val="008E19F1"/>
    <w:rsid w:val="008E1CAC"/>
    <w:rsid w:val="008E24F0"/>
    <w:rsid w:val="008E336D"/>
    <w:rsid w:val="008E4565"/>
    <w:rsid w:val="008E4A4A"/>
    <w:rsid w:val="008E5927"/>
    <w:rsid w:val="008E5DCF"/>
    <w:rsid w:val="008F0CB3"/>
    <w:rsid w:val="008F2D63"/>
    <w:rsid w:val="008F390D"/>
    <w:rsid w:val="008F4CE7"/>
    <w:rsid w:val="008F6956"/>
    <w:rsid w:val="008F6B0B"/>
    <w:rsid w:val="008F730A"/>
    <w:rsid w:val="008F7FC7"/>
    <w:rsid w:val="00900118"/>
    <w:rsid w:val="0090014A"/>
    <w:rsid w:val="00900324"/>
    <w:rsid w:val="00900D3B"/>
    <w:rsid w:val="009028BB"/>
    <w:rsid w:val="009050D6"/>
    <w:rsid w:val="009062A8"/>
    <w:rsid w:val="009068AD"/>
    <w:rsid w:val="00906CF9"/>
    <w:rsid w:val="00906E31"/>
    <w:rsid w:val="00907115"/>
    <w:rsid w:val="009116A0"/>
    <w:rsid w:val="00911B2C"/>
    <w:rsid w:val="00911F7F"/>
    <w:rsid w:val="0091677F"/>
    <w:rsid w:val="00916CD8"/>
    <w:rsid w:val="009213A3"/>
    <w:rsid w:val="009223EE"/>
    <w:rsid w:val="00922D6D"/>
    <w:rsid w:val="00923C4C"/>
    <w:rsid w:val="00923F22"/>
    <w:rsid w:val="00925409"/>
    <w:rsid w:val="00926B21"/>
    <w:rsid w:val="00927B5A"/>
    <w:rsid w:val="0093054C"/>
    <w:rsid w:val="00931363"/>
    <w:rsid w:val="009320BE"/>
    <w:rsid w:val="00932299"/>
    <w:rsid w:val="00932E08"/>
    <w:rsid w:val="00935B61"/>
    <w:rsid w:val="00936A93"/>
    <w:rsid w:val="00937376"/>
    <w:rsid w:val="00937A36"/>
    <w:rsid w:val="00937EB5"/>
    <w:rsid w:val="00940895"/>
    <w:rsid w:val="0094102D"/>
    <w:rsid w:val="00941560"/>
    <w:rsid w:val="0094336A"/>
    <w:rsid w:val="00944461"/>
    <w:rsid w:val="00944BD6"/>
    <w:rsid w:val="00945AAA"/>
    <w:rsid w:val="00945BEE"/>
    <w:rsid w:val="00947D24"/>
    <w:rsid w:val="00951F52"/>
    <w:rsid w:val="00952A37"/>
    <w:rsid w:val="0095360A"/>
    <w:rsid w:val="00964977"/>
    <w:rsid w:val="009655AE"/>
    <w:rsid w:val="00966447"/>
    <w:rsid w:val="00966B4A"/>
    <w:rsid w:val="00966B65"/>
    <w:rsid w:val="009704E8"/>
    <w:rsid w:val="00972281"/>
    <w:rsid w:val="00972D61"/>
    <w:rsid w:val="00974221"/>
    <w:rsid w:val="009743BF"/>
    <w:rsid w:val="00974AEA"/>
    <w:rsid w:val="009751E8"/>
    <w:rsid w:val="009774A3"/>
    <w:rsid w:val="00980880"/>
    <w:rsid w:val="00981239"/>
    <w:rsid w:val="009815D1"/>
    <w:rsid w:val="00981E18"/>
    <w:rsid w:val="0098217F"/>
    <w:rsid w:val="0098373F"/>
    <w:rsid w:val="00984780"/>
    <w:rsid w:val="009847F2"/>
    <w:rsid w:val="0098498E"/>
    <w:rsid w:val="00984D5D"/>
    <w:rsid w:val="00990083"/>
    <w:rsid w:val="009902AC"/>
    <w:rsid w:val="00990B8C"/>
    <w:rsid w:val="009931BD"/>
    <w:rsid w:val="00993E75"/>
    <w:rsid w:val="00994A0C"/>
    <w:rsid w:val="009951B4"/>
    <w:rsid w:val="0099755E"/>
    <w:rsid w:val="00997ED7"/>
    <w:rsid w:val="009A0656"/>
    <w:rsid w:val="009A1354"/>
    <w:rsid w:val="009A1CD8"/>
    <w:rsid w:val="009A1E32"/>
    <w:rsid w:val="009A2F0C"/>
    <w:rsid w:val="009A4E7D"/>
    <w:rsid w:val="009A559F"/>
    <w:rsid w:val="009A5727"/>
    <w:rsid w:val="009A6A00"/>
    <w:rsid w:val="009B0761"/>
    <w:rsid w:val="009B2354"/>
    <w:rsid w:val="009B3845"/>
    <w:rsid w:val="009B3912"/>
    <w:rsid w:val="009B43DD"/>
    <w:rsid w:val="009B45A3"/>
    <w:rsid w:val="009B507A"/>
    <w:rsid w:val="009B7144"/>
    <w:rsid w:val="009C0E87"/>
    <w:rsid w:val="009C33FD"/>
    <w:rsid w:val="009C542E"/>
    <w:rsid w:val="009C6566"/>
    <w:rsid w:val="009C74E6"/>
    <w:rsid w:val="009D4865"/>
    <w:rsid w:val="009D6670"/>
    <w:rsid w:val="009D74E2"/>
    <w:rsid w:val="009E0D61"/>
    <w:rsid w:val="009E1A3C"/>
    <w:rsid w:val="009E1C39"/>
    <w:rsid w:val="009E2B03"/>
    <w:rsid w:val="009E4390"/>
    <w:rsid w:val="009E5E39"/>
    <w:rsid w:val="009F51C3"/>
    <w:rsid w:val="009F65FC"/>
    <w:rsid w:val="009F6D0F"/>
    <w:rsid w:val="00A014D9"/>
    <w:rsid w:val="00A02580"/>
    <w:rsid w:val="00A0436C"/>
    <w:rsid w:val="00A05776"/>
    <w:rsid w:val="00A068B1"/>
    <w:rsid w:val="00A10258"/>
    <w:rsid w:val="00A11991"/>
    <w:rsid w:val="00A12B22"/>
    <w:rsid w:val="00A1466F"/>
    <w:rsid w:val="00A14F9F"/>
    <w:rsid w:val="00A1621A"/>
    <w:rsid w:val="00A168B4"/>
    <w:rsid w:val="00A21159"/>
    <w:rsid w:val="00A216BD"/>
    <w:rsid w:val="00A21F5D"/>
    <w:rsid w:val="00A2230A"/>
    <w:rsid w:val="00A22908"/>
    <w:rsid w:val="00A23FC1"/>
    <w:rsid w:val="00A243AA"/>
    <w:rsid w:val="00A25E98"/>
    <w:rsid w:val="00A2607A"/>
    <w:rsid w:val="00A26E4B"/>
    <w:rsid w:val="00A27B7C"/>
    <w:rsid w:val="00A30226"/>
    <w:rsid w:val="00A330BB"/>
    <w:rsid w:val="00A33DAC"/>
    <w:rsid w:val="00A35B25"/>
    <w:rsid w:val="00A36EAF"/>
    <w:rsid w:val="00A41C15"/>
    <w:rsid w:val="00A44FF8"/>
    <w:rsid w:val="00A469B8"/>
    <w:rsid w:val="00A46B1D"/>
    <w:rsid w:val="00A472C6"/>
    <w:rsid w:val="00A533A9"/>
    <w:rsid w:val="00A534E8"/>
    <w:rsid w:val="00A541EF"/>
    <w:rsid w:val="00A561BB"/>
    <w:rsid w:val="00A57A25"/>
    <w:rsid w:val="00A664B2"/>
    <w:rsid w:val="00A67266"/>
    <w:rsid w:val="00A701E4"/>
    <w:rsid w:val="00A706EB"/>
    <w:rsid w:val="00A70CFF"/>
    <w:rsid w:val="00A716E3"/>
    <w:rsid w:val="00A7581F"/>
    <w:rsid w:val="00A76BDF"/>
    <w:rsid w:val="00A77BF4"/>
    <w:rsid w:val="00A820B1"/>
    <w:rsid w:val="00A83224"/>
    <w:rsid w:val="00A83E7C"/>
    <w:rsid w:val="00A84BFC"/>
    <w:rsid w:val="00A85534"/>
    <w:rsid w:val="00A856B2"/>
    <w:rsid w:val="00A85AFE"/>
    <w:rsid w:val="00A872B7"/>
    <w:rsid w:val="00A8766E"/>
    <w:rsid w:val="00A87965"/>
    <w:rsid w:val="00A90EA6"/>
    <w:rsid w:val="00A92388"/>
    <w:rsid w:val="00A93D63"/>
    <w:rsid w:val="00A944F0"/>
    <w:rsid w:val="00A94C7F"/>
    <w:rsid w:val="00A95B13"/>
    <w:rsid w:val="00A97B94"/>
    <w:rsid w:val="00AA12F8"/>
    <w:rsid w:val="00AA266B"/>
    <w:rsid w:val="00AA3559"/>
    <w:rsid w:val="00AA3E03"/>
    <w:rsid w:val="00AA3EA9"/>
    <w:rsid w:val="00AA5342"/>
    <w:rsid w:val="00AA5FAE"/>
    <w:rsid w:val="00AA7E94"/>
    <w:rsid w:val="00AB21CD"/>
    <w:rsid w:val="00AB2894"/>
    <w:rsid w:val="00AB2B95"/>
    <w:rsid w:val="00AB339D"/>
    <w:rsid w:val="00AB5426"/>
    <w:rsid w:val="00AB58E7"/>
    <w:rsid w:val="00AC0D4B"/>
    <w:rsid w:val="00AC1C37"/>
    <w:rsid w:val="00AC28B6"/>
    <w:rsid w:val="00AC34CB"/>
    <w:rsid w:val="00AC598F"/>
    <w:rsid w:val="00AD11C3"/>
    <w:rsid w:val="00AD27B6"/>
    <w:rsid w:val="00AD2D3C"/>
    <w:rsid w:val="00AD649E"/>
    <w:rsid w:val="00AD7DC9"/>
    <w:rsid w:val="00AE0B50"/>
    <w:rsid w:val="00AE0DC1"/>
    <w:rsid w:val="00AE3BCD"/>
    <w:rsid w:val="00AE4E61"/>
    <w:rsid w:val="00AE4ECD"/>
    <w:rsid w:val="00AE5A73"/>
    <w:rsid w:val="00AE6861"/>
    <w:rsid w:val="00AE6D6B"/>
    <w:rsid w:val="00AF1A8B"/>
    <w:rsid w:val="00AF2666"/>
    <w:rsid w:val="00AF34D5"/>
    <w:rsid w:val="00AF48E7"/>
    <w:rsid w:val="00AF5165"/>
    <w:rsid w:val="00AF5B16"/>
    <w:rsid w:val="00AF7691"/>
    <w:rsid w:val="00B02157"/>
    <w:rsid w:val="00B03427"/>
    <w:rsid w:val="00B10251"/>
    <w:rsid w:val="00B11E5F"/>
    <w:rsid w:val="00B131C5"/>
    <w:rsid w:val="00B16B21"/>
    <w:rsid w:val="00B16C6F"/>
    <w:rsid w:val="00B1789A"/>
    <w:rsid w:val="00B17A4F"/>
    <w:rsid w:val="00B208AE"/>
    <w:rsid w:val="00B20DE3"/>
    <w:rsid w:val="00B22220"/>
    <w:rsid w:val="00B25248"/>
    <w:rsid w:val="00B2668A"/>
    <w:rsid w:val="00B27C46"/>
    <w:rsid w:val="00B27E6D"/>
    <w:rsid w:val="00B30DA3"/>
    <w:rsid w:val="00B31270"/>
    <w:rsid w:val="00B314C5"/>
    <w:rsid w:val="00B325D1"/>
    <w:rsid w:val="00B32B02"/>
    <w:rsid w:val="00B34C6D"/>
    <w:rsid w:val="00B36500"/>
    <w:rsid w:val="00B375D3"/>
    <w:rsid w:val="00B37E3E"/>
    <w:rsid w:val="00B405AA"/>
    <w:rsid w:val="00B41923"/>
    <w:rsid w:val="00B419F9"/>
    <w:rsid w:val="00B437D7"/>
    <w:rsid w:val="00B45C5E"/>
    <w:rsid w:val="00B4653E"/>
    <w:rsid w:val="00B46AE5"/>
    <w:rsid w:val="00B46E0A"/>
    <w:rsid w:val="00B47211"/>
    <w:rsid w:val="00B477F3"/>
    <w:rsid w:val="00B52A7A"/>
    <w:rsid w:val="00B53078"/>
    <w:rsid w:val="00B54C95"/>
    <w:rsid w:val="00B55713"/>
    <w:rsid w:val="00B55B92"/>
    <w:rsid w:val="00B55D9F"/>
    <w:rsid w:val="00B5734A"/>
    <w:rsid w:val="00B60EBA"/>
    <w:rsid w:val="00B6193F"/>
    <w:rsid w:val="00B62923"/>
    <w:rsid w:val="00B638CB"/>
    <w:rsid w:val="00B63E8C"/>
    <w:rsid w:val="00B63F56"/>
    <w:rsid w:val="00B648DC"/>
    <w:rsid w:val="00B707D7"/>
    <w:rsid w:val="00B72507"/>
    <w:rsid w:val="00B73735"/>
    <w:rsid w:val="00B744BA"/>
    <w:rsid w:val="00B7468A"/>
    <w:rsid w:val="00B74E30"/>
    <w:rsid w:val="00B74FBE"/>
    <w:rsid w:val="00B7635E"/>
    <w:rsid w:val="00B80730"/>
    <w:rsid w:val="00B807EF"/>
    <w:rsid w:val="00B80B2A"/>
    <w:rsid w:val="00B82C14"/>
    <w:rsid w:val="00B86532"/>
    <w:rsid w:val="00B86787"/>
    <w:rsid w:val="00B86AE2"/>
    <w:rsid w:val="00B90009"/>
    <w:rsid w:val="00B9082A"/>
    <w:rsid w:val="00B919D5"/>
    <w:rsid w:val="00B92273"/>
    <w:rsid w:val="00B9347F"/>
    <w:rsid w:val="00B9377C"/>
    <w:rsid w:val="00B93AD5"/>
    <w:rsid w:val="00B93AF9"/>
    <w:rsid w:val="00B93B50"/>
    <w:rsid w:val="00B94CEC"/>
    <w:rsid w:val="00B94DDB"/>
    <w:rsid w:val="00B9505F"/>
    <w:rsid w:val="00B964E1"/>
    <w:rsid w:val="00B96E36"/>
    <w:rsid w:val="00B97871"/>
    <w:rsid w:val="00B97F57"/>
    <w:rsid w:val="00BA0493"/>
    <w:rsid w:val="00BA1BFE"/>
    <w:rsid w:val="00BA3036"/>
    <w:rsid w:val="00BA33A9"/>
    <w:rsid w:val="00BA47F4"/>
    <w:rsid w:val="00BA4C26"/>
    <w:rsid w:val="00BB1D1F"/>
    <w:rsid w:val="00BB223D"/>
    <w:rsid w:val="00BB3E7B"/>
    <w:rsid w:val="00BB484A"/>
    <w:rsid w:val="00BB6159"/>
    <w:rsid w:val="00BB7184"/>
    <w:rsid w:val="00BB78C2"/>
    <w:rsid w:val="00BC0688"/>
    <w:rsid w:val="00BC0757"/>
    <w:rsid w:val="00BC11C4"/>
    <w:rsid w:val="00BC1F99"/>
    <w:rsid w:val="00BC35CE"/>
    <w:rsid w:val="00BC36A4"/>
    <w:rsid w:val="00BC3CCC"/>
    <w:rsid w:val="00BC4108"/>
    <w:rsid w:val="00BC53A3"/>
    <w:rsid w:val="00BC54A5"/>
    <w:rsid w:val="00BC5823"/>
    <w:rsid w:val="00BC61C0"/>
    <w:rsid w:val="00BC71AB"/>
    <w:rsid w:val="00BD0DA4"/>
    <w:rsid w:val="00BD214F"/>
    <w:rsid w:val="00BD6A92"/>
    <w:rsid w:val="00BD6D76"/>
    <w:rsid w:val="00BE3191"/>
    <w:rsid w:val="00BE3B1C"/>
    <w:rsid w:val="00BE56D3"/>
    <w:rsid w:val="00BE6903"/>
    <w:rsid w:val="00BE762E"/>
    <w:rsid w:val="00BF1733"/>
    <w:rsid w:val="00BF1F6B"/>
    <w:rsid w:val="00BF2CD6"/>
    <w:rsid w:val="00BF3701"/>
    <w:rsid w:val="00BF4212"/>
    <w:rsid w:val="00BF6535"/>
    <w:rsid w:val="00C02ABC"/>
    <w:rsid w:val="00C042A0"/>
    <w:rsid w:val="00C047BB"/>
    <w:rsid w:val="00C049C2"/>
    <w:rsid w:val="00C058F0"/>
    <w:rsid w:val="00C0699F"/>
    <w:rsid w:val="00C07252"/>
    <w:rsid w:val="00C11BEC"/>
    <w:rsid w:val="00C11DF3"/>
    <w:rsid w:val="00C12634"/>
    <w:rsid w:val="00C12966"/>
    <w:rsid w:val="00C12AD9"/>
    <w:rsid w:val="00C156EA"/>
    <w:rsid w:val="00C15D1D"/>
    <w:rsid w:val="00C160EF"/>
    <w:rsid w:val="00C17999"/>
    <w:rsid w:val="00C2041D"/>
    <w:rsid w:val="00C2188D"/>
    <w:rsid w:val="00C22F4B"/>
    <w:rsid w:val="00C22FB5"/>
    <w:rsid w:val="00C23C59"/>
    <w:rsid w:val="00C23E90"/>
    <w:rsid w:val="00C24C15"/>
    <w:rsid w:val="00C26B96"/>
    <w:rsid w:val="00C27926"/>
    <w:rsid w:val="00C27D96"/>
    <w:rsid w:val="00C315FD"/>
    <w:rsid w:val="00C33519"/>
    <w:rsid w:val="00C411EA"/>
    <w:rsid w:val="00C415A2"/>
    <w:rsid w:val="00C42F56"/>
    <w:rsid w:val="00C434BC"/>
    <w:rsid w:val="00C50BBE"/>
    <w:rsid w:val="00C50F6A"/>
    <w:rsid w:val="00C53BFB"/>
    <w:rsid w:val="00C5418C"/>
    <w:rsid w:val="00C55876"/>
    <w:rsid w:val="00C558E6"/>
    <w:rsid w:val="00C55FCE"/>
    <w:rsid w:val="00C574EC"/>
    <w:rsid w:val="00C61177"/>
    <w:rsid w:val="00C612D4"/>
    <w:rsid w:val="00C62A1C"/>
    <w:rsid w:val="00C63117"/>
    <w:rsid w:val="00C63EC3"/>
    <w:rsid w:val="00C65623"/>
    <w:rsid w:val="00C676E1"/>
    <w:rsid w:val="00C6778D"/>
    <w:rsid w:val="00C67F15"/>
    <w:rsid w:val="00C70560"/>
    <w:rsid w:val="00C71166"/>
    <w:rsid w:val="00C71788"/>
    <w:rsid w:val="00C73526"/>
    <w:rsid w:val="00C73E59"/>
    <w:rsid w:val="00C751A4"/>
    <w:rsid w:val="00C75597"/>
    <w:rsid w:val="00C75DDA"/>
    <w:rsid w:val="00C772E9"/>
    <w:rsid w:val="00C778A3"/>
    <w:rsid w:val="00C7796A"/>
    <w:rsid w:val="00C810E1"/>
    <w:rsid w:val="00C815BF"/>
    <w:rsid w:val="00C83CE5"/>
    <w:rsid w:val="00C87A64"/>
    <w:rsid w:val="00C914B2"/>
    <w:rsid w:val="00C93047"/>
    <w:rsid w:val="00C95622"/>
    <w:rsid w:val="00C973FC"/>
    <w:rsid w:val="00CA0CCC"/>
    <w:rsid w:val="00CA294A"/>
    <w:rsid w:val="00CA35F2"/>
    <w:rsid w:val="00CA3855"/>
    <w:rsid w:val="00CA4253"/>
    <w:rsid w:val="00CA4768"/>
    <w:rsid w:val="00CA4ED3"/>
    <w:rsid w:val="00CA5C79"/>
    <w:rsid w:val="00CA63B0"/>
    <w:rsid w:val="00CA6AA2"/>
    <w:rsid w:val="00CB1B17"/>
    <w:rsid w:val="00CB45A6"/>
    <w:rsid w:val="00CB63ED"/>
    <w:rsid w:val="00CC0D2B"/>
    <w:rsid w:val="00CC1A78"/>
    <w:rsid w:val="00CC22E5"/>
    <w:rsid w:val="00CC3B48"/>
    <w:rsid w:val="00CC403A"/>
    <w:rsid w:val="00CC4B29"/>
    <w:rsid w:val="00CC4E21"/>
    <w:rsid w:val="00CC5E04"/>
    <w:rsid w:val="00CC658E"/>
    <w:rsid w:val="00CD07B0"/>
    <w:rsid w:val="00CD09BD"/>
    <w:rsid w:val="00CD1A11"/>
    <w:rsid w:val="00CD4295"/>
    <w:rsid w:val="00CD6A1F"/>
    <w:rsid w:val="00CD7652"/>
    <w:rsid w:val="00CE101C"/>
    <w:rsid w:val="00CE1033"/>
    <w:rsid w:val="00CE105E"/>
    <w:rsid w:val="00CE2125"/>
    <w:rsid w:val="00CE4984"/>
    <w:rsid w:val="00CE515A"/>
    <w:rsid w:val="00CE5BEB"/>
    <w:rsid w:val="00CE5FC9"/>
    <w:rsid w:val="00CE69EB"/>
    <w:rsid w:val="00CE6A29"/>
    <w:rsid w:val="00CE6C95"/>
    <w:rsid w:val="00CE724F"/>
    <w:rsid w:val="00CE74D1"/>
    <w:rsid w:val="00CF4D14"/>
    <w:rsid w:val="00CF4DBB"/>
    <w:rsid w:val="00CF7091"/>
    <w:rsid w:val="00D004DE"/>
    <w:rsid w:val="00D00E53"/>
    <w:rsid w:val="00D032CB"/>
    <w:rsid w:val="00D0333E"/>
    <w:rsid w:val="00D03C40"/>
    <w:rsid w:val="00D0491D"/>
    <w:rsid w:val="00D07BA0"/>
    <w:rsid w:val="00D109F8"/>
    <w:rsid w:val="00D13C14"/>
    <w:rsid w:val="00D14369"/>
    <w:rsid w:val="00D15B74"/>
    <w:rsid w:val="00D17799"/>
    <w:rsid w:val="00D17CE0"/>
    <w:rsid w:val="00D22DE9"/>
    <w:rsid w:val="00D24528"/>
    <w:rsid w:val="00D26BCC"/>
    <w:rsid w:val="00D27630"/>
    <w:rsid w:val="00D32E09"/>
    <w:rsid w:val="00D334E7"/>
    <w:rsid w:val="00D355FE"/>
    <w:rsid w:val="00D35764"/>
    <w:rsid w:val="00D357B6"/>
    <w:rsid w:val="00D3781D"/>
    <w:rsid w:val="00D40618"/>
    <w:rsid w:val="00D40B7A"/>
    <w:rsid w:val="00D40DA4"/>
    <w:rsid w:val="00D40ED4"/>
    <w:rsid w:val="00D413BD"/>
    <w:rsid w:val="00D42241"/>
    <w:rsid w:val="00D42837"/>
    <w:rsid w:val="00D436B6"/>
    <w:rsid w:val="00D44154"/>
    <w:rsid w:val="00D4593F"/>
    <w:rsid w:val="00D466DF"/>
    <w:rsid w:val="00D46BCD"/>
    <w:rsid w:val="00D50BCE"/>
    <w:rsid w:val="00D560C7"/>
    <w:rsid w:val="00D56691"/>
    <w:rsid w:val="00D6044D"/>
    <w:rsid w:val="00D60E63"/>
    <w:rsid w:val="00D61234"/>
    <w:rsid w:val="00D61443"/>
    <w:rsid w:val="00D629C4"/>
    <w:rsid w:val="00D64333"/>
    <w:rsid w:val="00D647A1"/>
    <w:rsid w:val="00D64D0E"/>
    <w:rsid w:val="00D65FB5"/>
    <w:rsid w:val="00D6715C"/>
    <w:rsid w:val="00D70362"/>
    <w:rsid w:val="00D728CA"/>
    <w:rsid w:val="00D72A76"/>
    <w:rsid w:val="00D7478D"/>
    <w:rsid w:val="00D844D7"/>
    <w:rsid w:val="00D8486F"/>
    <w:rsid w:val="00D84943"/>
    <w:rsid w:val="00D85459"/>
    <w:rsid w:val="00D8701F"/>
    <w:rsid w:val="00D90D1C"/>
    <w:rsid w:val="00D92476"/>
    <w:rsid w:val="00D93798"/>
    <w:rsid w:val="00D93927"/>
    <w:rsid w:val="00D93E8A"/>
    <w:rsid w:val="00D95EF5"/>
    <w:rsid w:val="00D96171"/>
    <w:rsid w:val="00D96D4D"/>
    <w:rsid w:val="00D96F40"/>
    <w:rsid w:val="00D97942"/>
    <w:rsid w:val="00DA0427"/>
    <w:rsid w:val="00DA1590"/>
    <w:rsid w:val="00DA178F"/>
    <w:rsid w:val="00DA1986"/>
    <w:rsid w:val="00DA36BE"/>
    <w:rsid w:val="00DA3C11"/>
    <w:rsid w:val="00DA473D"/>
    <w:rsid w:val="00DA5311"/>
    <w:rsid w:val="00DA76B7"/>
    <w:rsid w:val="00DB078C"/>
    <w:rsid w:val="00DB1DD6"/>
    <w:rsid w:val="00DB271C"/>
    <w:rsid w:val="00DB361F"/>
    <w:rsid w:val="00DB4665"/>
    <w:rsid w:val="00DB4E6C"/>
    <w:rsid w:val="00DB681E"/>
    <w:rsid w:val="00DB79CE"/>
    <w:rsid w:val="00DB7DF8"/>
    <w:rsid w:val="00DC16CA"/>
    <w:rsid w:val="00DC5657"/>
    <w:rsid w:val="00DC6213"/>
    <w:rsid w:val="00DC64D9"/>
    <w:rsid w:val="00DC663A"/>
    <w:rsid w:val="00DD100D"/>
    <w:rsid w:val="00DD16EF"/>
    <w:rsid w:val="00DD24CA"/>
    <w:rsid w:val="00DD51E2"/>
    <w:rsid w:val="00DD7845"/>
    <w:rsid w:val="00DD79BC"/>
    <w:rsid w:val="00DE06DB"/>
    <w:rsid w:val="00DE0D5E"/>
    <w:rsid w:val="00DE29A2"/>
    <w:rsid w:val="00DE44F0"/>
    <w:rsid w:val="00DE4529"/>
    <w:rsid w:val="00DE4E0A"/>
    <w:rsid w:val="00DE522E"/>
    <w:rsid w:val="00DE567A"/>
    <w:rsid w:val="00DE5E94"/>
    <w:rsid w:val="00DE63D8"/>
    <w:rsid w:val="00DE69E3"/>
    <w:rsid w:val="00DF0A5A"/>
    <w:rsid w:val="00DF134F"/>
    <w:rsid w:val="00DF1910"/>
    <w:rsid w:val="00DF1A4F"/>
    <w:rsid w:val="00DF3B0B"/>
    <w:rsid w:val="00DF6334"/>
    <w:rsid w:val="00E0010A"/>
    <w:rsid w:val="00E027AC"/>
    <w:rsid w:val="00E030C2"/>
    <w:rsid w:val="00E035A4"/>
    <w:rsid w:val="00E0374D"/>
    <w:rsid w:val="00E03A0F"/>
    <w:rsid w:val="00E0429D"/>
    <w:rsid w:val="00E058A6"/>
    <w:rsid w:val="00E06F35"/>
    <w:rsid w:val="00E07361"/>
    <w:rsid w:val="00E11587"/>
    <w:rsid w:val="00E115E7"/>
    <w:rsid w:val="00E11C2C"/>
    <w:rsid w:val="00E123FE"/>
    <w:rsid w:val="00E12796"/>
    <w:rsid w:val="00E15AE5"/>
    <w:rsid w:val="00E2091D"/>
    <w:rsid w:val="00E213AE"/>
    <w:rsid w:val="00E2297D"/>
    <w:rsid w:val="00E22AFE"/>
    <w:rsid w:val="00E22D9A"/>
    <w:rsid w:val="00E24BEA"/>
    <w:rsid w:val="00E30020"/>
    <w:rsid w:val="00E30BE8"/>
    <w:rsid w:val="00E31EF0"/>
    <w:rsid w:val="00E34F6E"/>
    <w:rsid w:val="00E355F3"/>
    <w:rsid w:val="00E35D76"/>
    <w:rsid w:val="00E36DB0"/>
    <w:rsid w:val="00E37088"/>
    <w:rsid w:val="00E4166E"/>
    <w:rsid w:val="00E42576"/>
    <w:rsid w:val="00E45BBA"/>
    <w:rsid w:val="00E4662D"/>
    <w:rsid w:val="00E50A06"/>
    <w:rsid w:val="00E541A3"/>
    <w:rsid w:val="00E54BE0"/>
    <w:rsid w:val="00E55ADA"/>
    <w:rsid w:val="00E55F7C"/>
    <w:rsid w:val="00E5696B"/>
    <w:rsid w:val="00E5709E"/>
    <w:rsid w:val="00E60B6E"/>
    <w:rsid w:val="00E61A42"/>
    <w:rsid w:val="00E62B01"/>
    <w:rsid w:val="00E63754"/>
    <w:rsid w:val="00E806AE"/>
    <w:rsid w:val="00E81672"/>
    <w:rsid w:val="00E843A5"/>
    <w:rsid w:val="00E85173"/>
    <w:rsid w:val="00E870F2"/>
    <w:rsid w:val="00E87776"/>
    <w:rsid w:val="00E87B3C"/>
    <w:rsid w:val="00E90AD1"/>
    <w:rsid w:val="00E93790"/>
    <w:rsid w:val="00EA1A16"/>
    <w:rsid w:val="00EA1BC1"/>
    <w:rsid w:val="00EA229F"/>
    <w:rsid w:val="00EA323F"/>
    <w:rsid w:val="00EA3427"/>
    <w:rsid w:val="00EA3931"/>
    <w:rsid w:val="00EA5253"/>
    <w:rsid w:val="00EB0327"/>
    <w:rsid w:val="00EB09B8"/>
    <w:rsid w:val="00EB23CF"/>
    <w:rsid w:val="00EB29FC"/>
    <w:rsid w:val="00EB38C1"/>
    <w:rsid w:val="00EB3BC2"/>
    <w:rsid w:val="00EB4B2C"/>
    <w:rsid w:val="00EB4B98"/>
    <w:rsid w:val="00EB53D6"/>
    <w:rsid w:val="00EB5AC7"/>
    <w:rsid w:val="00EB7368"/>
    <w:rsid w:val="00EC31A7"/>
    <w:rsid w:val="00EC4061"/>
    <w:rsid w:val="00EC49C6"/>
    <w:rsid w:val="00ED51FD"/>
    <w:rsid w:val="00ED557E"/>
    <w:rsid w:val="00EE1B0B"/>
    <w:rsid w:val="00EE3A9B"/>
    <w:rsid w:val="00EE435F"/>
    <w:rsid w:val="00EE4510"/>
    <w:rsid w:val="00EE4B26"/>
    <w:rsid w:val="00EE50D3"/>
    <w:rsid w:val="00EE556B"/>
    <w:rsid w:val="00EE688B"/>
    <w:rsid w:val="00EE69E3"/>
    <w:rsid w:val="00EE719A"/>
    <w:rsid w:val="00EE7879"/>
    <w:rsid w:val="00EE7F58"/>
    <w:rsid w:val="00EF1F88"/>
    <w:rsid w:val="00EF3588"/>
    <w:rsid w:val="00EF38A3"/>
    <w:rsid w:val="00EF4654"/>
    <w:rsid w:val="00EF4BF9"/>
    <w:rsid w:val="00EF53EA"/>
    <w:rsid w:val="00F00E0F"/>
    <w:rsid w:val="00F028F2"/>
    <w:rsid w:val="00F029BF"/>
    <w:rsid w:val="00F06FCC"/>
    <w:rsid w:val="00F075ED"/>
    <w:rsid w:val="00F11682"/>
    <w:rsid w:val="00F11E8A"/>
    <w:rsid w:val="00F11FCE"/>
    <w:rsid w:val="00F144FA"/>
    <w:rsid w:val="00F15095"/>
    <w:rsid w:val="00F164F4"/>
    <w:rsid w:val="00F170D5"/>
    <w:rsid w:val="00F17AE3"/>
    <w:rsid w:val="00F209F4"/>
    <w:rsid w:val="00F2161B"/>
    <w:rsid w:val="00F216D8"/>
    <w:rsid w:val="00F21FF6"/>
    <w:rsid w:val="00F2277F"/>
    <w:rsid w:val="00F24996"/>
    <w:rsid w:val="00F2518A"/>
    <w:rsid w:val="00F254F5"/>
    <w:rsid w:val="00F260D8"/>
    <w:rsid w:val="00F277FA"/>
    <w:rsid w:val="00F31A34"/>
    <w:rsid w:val="00F32526"/>
    <w:rsid w:val="00F325EB"/>
    <w:rsid w:val="00F32C6C"/>
    <w:rsid w:val="00F345F9"/>
    <w:rsid w:val="00F35F63"/>
    <w:rsid w:val="00F40236"/>
    <w:rsid w:val="00F404E6"/>
    <w:rsid w:val="00F40AF4"/>
    <w:rsid w:val="00F43CAF"/>
    <w:rsid w:val="00F5045C"/>
    <w:rsid w:val="00F50664"/>
    <w:rsid w:val="00F512AF"/>
    <w:rsid w:val="00F52315"/>
    <w:rsid w:val="00F54B6F"/>
    <w:rsid w:val="00F56E70"/>
    <w:rsid w:val="00F5761F"/>
    <w:rsid w:val="00F577C2"/>
    <w:rsid w:val="00F607BE"/>
    <w:rsid w:val="00F6245E"/>
    <w:rsid w:val="00F6491A"/>
    <w:rsid w:val="00F64C96"/>
    <w:rsid w:val="00F65126"/>
    <w:rsid w:val="00F6722B"/>
    <w:rsid w:val="00F70A96"/>
    <w:rsid w:val="00F73199"/>
    <w:rsid w:val="00F73F31"/>
    <w:rsid w:val="00F7723C"/>
    <w:rsid w:val="00F7735B"/>
    <w:rsid w:val="00F82A4A"/>
    <w:rsid w:val="00F830A4"/>
    <w:rsid w:val="00F842B8"/>
    <w:rsid w:val="00F86091"/>
    <w:rsid w:val="00F86324"/>
    <w:rsid w:val="00F8656B"/>
    <w:rsid w:val="00F90205"/>
    <w:rsid w:val="00F931E9"/>
    <w:rsid w:val="00F948B0"/>
    <w:rsid w:val="00F96864"/>
    <w:rsid w:val="00FA02B2"/>
    <w:rsid w:val="00FA0B89"/>
    <w:rsid w:val="00FA16C7"/>
    <w:rsid w:val="00FA422E"/>
    <w:rsid w:val="00FA65AC"/>
    <w:rsid w:val="00FA6C0B"/>
    <w:rsid w:val="00FA72B1"/>
    <w:rsid w:val="00FA7992"/>
    <w:rsid w:val="00FB1211"/>
    <w:rsid w:val="00FB4C31"/>
    <w:rsid w:val="00FB5B95"/>
    <w:rsid w:val="00FB6067"/>
    <w:rsid w:val="00FB7965"/>
    <w:rsid w:val="00FC0440"/>
    <w:rsid w:val="00FC059C"/>
    <w:rsid w:val="00FC0BAB"/>
    <w:rsid w:val="00FC10F7"/>
    <w:rsid w:val="00FC1B8E"/>
    <w:rsid w:val="00FC28ED"/>
    <w:rsid w:val="00FC4EEB"/>
    <w:rsid w:val="00FC5EE3"/>
    <w:rsid w:val="00FC610F"/>
    <w:rsid w:val="00FC6A7B"/>
    <w:rsid w:val="00FC6DCC"/>
    <w:rsid w:val="00FD0B6F"/>
    <w:rsid w:val="00FD1584"/>
    <w:rsid w:val="00FD16CD"/>
    <w:rsid w:val="00FD5F0C"/>
    <w:rsid w:val="00FD6621"/>
    <w:rsid w:val="00FD6692"/>
    <w:rsid w:val="00FD674F"/>
    <w:rsid w:val="00FD7295"/>
    <w:rsid w:val="00FD7C61"/>
    <w:rsid w:val="00FE0B4E"/>
    <w:rsid w:val="00FE5992"/>
    <w:rsid w:val="00FE6D00"/>
    <w:rsid w:val="00FE72D7"/>
    <w:rsid w:val="00FE7933"/>
    <w:rsid w:val="00FE7B94"/>
    <w:rsid w:val="00FE7E3F"/>
    <w:rsid w:val="00FF217A"/>
    <w:rsid w:val="00FF2D68"/>
    <w:rsid w:val="00FF38D2"/>
    <w:rsid w:val="00FF45D1"/>
    <w:rsid w:val="00FF4A72"/>
    <w:rsid w:val="00FF59A3"/>
    <w:rsid w:val="00FF5CC0"/>
    <w:rsid w:val="01C1020B"/>
    <w:rsid w:val="01C42B8B"/>
    <w:rsid w:val="024472F6"/>
    <w:rsid w:val="02AB6DBD"/>
    <w:rsid w:val="039244B6"/>
    <w:rsid w:val="03C97C6A"/>
    <w:rsid w:val="06337B2C"/>
    <w:rsid w:val="06C3658F"/>
    <w:rsid w:val="06DA4BFF"/>
    <w:rsid w:val="06E447B4"/>
    <w:rsid w:val="072D52C4"/>
    <w:rsid w:val="07470E15"/>
    <w:rsid w:val="07507999"/>
    <w:rsid w:val="07524795"/>
    <w:rsid w:val="0765096C"/>
    <w:rsid w:val="08981017"/>
    <w:rsid w:val="089D4136"/>
    <w:rsid w:val="0A652F9A"/>
    <w:rsid w:val="0D270472"/>
    <w:rsid w:val="0DD007AD"/>
    <w:rsid w:val="0ECF222C"/>
    <w:rsid w:val="0ED37E91"/>
    <w:rsid w:val="0F4D0BDF"/>
    <w:rsid w:val="0F8B4CE8"/>
    <w:rsid w:val="103A04E4"/>
    <w:rsid w:val="104845BD"/>
    <w:rsid w:val="11D16BFE"/>
    <w:rsid w:val="12333415"/>
    <w:rsid w:val="12397F66"/>
    <w:rsid w:val="12504999"/>
    <w:rsid w:val="12753453"/>
    <w:rsid w:val="135E7486"/>
    <w:rsid w:val="138171C5"/>
    <w:rsid w:val="13D12EE6"/>
    <w:rsid w:val="14AF30F4"/>
    <w:rsid w:val="161E28E6"/>
    <w:rsid w:val="16FA2753"/>
    <w:rsid w:val="17AB19CC"/>
    <w:rsid w:val="17D66D1D"/>
    <w:rsid w:val="19B4308D"/>
    <w:rsid w:val="1BDF6D3B"/>
    <w:rsid w:val="1C0A29F1"/>
    <w:rsid w:val="1CFC0FD3"/>
    <w:rsid w:val="1D3F7596"/>
    <w:rsid w:val="1D595100"/>
    <w:rsid w:val="1D6C3A34"/>
    <w:rsid w:val="1DF1311D"/>
    <w:rsid w:val="1E0002B2"/>
    <w:rsid w:val="1E372358"/>
    <w:rsid w:val="1E3B5B2B"/>
    <w:rsid w:val="1EC51899"/>
    <w:rsid w:val="1EF54BEB"/>
    <w:rsid w:val="1F4A3369"/>
    <w:rsid w:val="1F9A2D26"/>
    <w:rsid w:val="1FC44FA7"/>
    <w:rsid w:val="202D76F6"/>
    <w:rsid w:val="214113EA"/>
    <w:rsid w:val="21582F69"/>
    <w:rsid w:val="224E2DC4"/>
    <w:rsid w:val="236E0CD6"/>
    <w:rsid w:val="238C221B"/>
    <w:rsid w:val="24D44311"/>
    <w:rsid w:val="24DC6B9B"/>
    <w:rsid w:val="252F68DF"/>
    <w:rsid w:val="25315EDA"/>
    <w:rsid w:val="26D8500C"/>
    <w:rsid w:val="2716481B"/>
    <w:rsid w:val="276460F3"/>
    <w:rsid w:val="27911809"/>
    <w:rsid w:val="28ED4DFA"/>
    <w:rsid w:val="292051A6"/>
    <w:rsid w:val="29302776"/>
    <w:rsid w:val="295447B5"/>
    <w:rsid w:val="29E51041"/>
    <w:rsid w:val="2A810D6A"/>
    <w:rsid w:val="2A8E20F2"/>
    <w:rsid w:val="2B255B99"/>
    <w:rsid w:val="2BFE3CB2"/>
    <w:rsid w:val="2C624BCB"/>
    <w:rsid w:val="2C683AE3"/>
    <w:rsid w:val="2CCA171F"/>
    <w:rsid w:val="2D2D5F5A"/>
    <w:rsid w:val="2D4A76C2"/>
    <w:rsid w:val="2EC83C99"/>
    <w:rsid w:val="300D6709"/>
    <w:rsid w:val="30655FAD"/>
    <w:rsid w:val="30954D50"/>
    <w:rsid w:val="30B023A9"/>
    <w:rsid w:val="30DA11D4"/>
    <w:rsid w:val="3112096E"/>
    <w:rsid w:val="312D1C4B"/>
    <w:rsid w:val="32850936"/>
    <w:rsid w:val="32AC66DB"/>
    <w:rsid w:val="3319376E"/>
    <w:rsid w:val="33A72170"/>
    <w:rsid w:val="33CA5530"/>
    <w:rsid w:val="355B3346"/>
    <w:rsid w:val="35A6048F"/>
    <w:rsid w:val="35D14F03"/>
    <w:rsid w:val="35D5102A"/>
    <w:rsid w:val="36564C10"/>
    <w:rsid w:val="36B044BB"/>
    <w:rsid w:val="37C36E66"/>
    <w:rsid w:val="39AB195F"/>
    <w:rsid w:val="3A28123C"/>
    <w:rsid w:val="3A6449FF"/>
    <w:rsid w:val="3AB6385C"/>
    <w:rsid w:val="3AE443EA"/>
    <w:rsid w:val="3AE9772F"/>
    <w:rsid w:val="3AEC4362"/>
    <w:rsid w:val="3BAB1079"/>
    <w:rsid w:val="3D0273C9"/>
    <w:rsid w:val="3D4B311E"/>
    <w:rsid w:val="3E8B093F"/>
    <w:rsid w:val="3EFB715C"/>
    <w:rsid w:val="3FFF2A05"/>
    <w:rsid w:val="4024421A"/>
    <w:rsid w:val="41B4419E"/>
    <w:rsid w:val="432B5219"/>
    <w:rsid w:val="43BB30E7"/>
    <w:rsid w:val="43FC2BD4"/>
    <w:rsid w:val="444127A6"/>
    <w:rsid w:val="446965F6"/>
    <w:rsid w:val="446C463E"/>
    <w:rsid w:val="44E75701"/>
    <w:rsid w:val="45442C68"/>
    <w:rsid w:val="46312E1D"/>
    <w:rsid w:val="465366D4"/>
    <w:rsid w:val="467632F5"/>
    <w:rsid w:val="468A55D5"/>
    <w:rsid w:val="47B505F9"/>
    <w:rsid w:val="48052207"/>
    <w:rsid w:val="48A97EFA"/>
    <w:rsid w:val="499917D4"/>
    <w:rsid w:val="49BB4089"/>
    <w:rsid w:val="4A0429ED"/>
    <w:rsid w:val="4AF13892"/>
    <w:rsid w:val="4AFF2459"/>
    <w:rsid w:val="4B8F27E6"/>
    <w:rsid w:val="4C092631"/>
    <w:rsid w:val="4C7E73A7"/>
    <w:rsid w:val="4CC56D84"/>
    <w:rsid w:val="4CEB4877"/>
    <w:rsid w:val="4D186EB4"/>
    <w:rsid w:val="4DA923E7"/>
    <w:rsid w:val="506F7733"/>
    <w:rsid w:val="509C604E"/>
    <w:rsid w:val="50B647F4"/>
    <w:rsid w:val="51125D0A"/>
    <w:rsid w:val="51C56AD5"/>
    <w:rsid w:val="52434FD6"/>
    <w:rsid w:val="52AA514A"/>
    <w:rsid w:val="52D93C9C"/>
    <w:rsid w:val="58134E48"/>
    <w:rsid w:val="583F703D"/>
    <w:rsid w:val="58C82435"/>
    <w:rsid w:val="58CB764B"/>
    <w:rsid w:val="5963629C"/>
    <w:rsid w:val="59B85CA7"/>
    <w:rsid w:val="5A3E59B6"/>
    <w:rsid w:val="5AF353C8"/>
    <w:rsid w:val="5BBC1352"/>
    <w:rsid w:val="5BC56459"/>
    <w:rsid w:val="5CD6329E"/>
    <w:rsid w:val="5D0B433F"/>
    <w:rsid w:val="5D365D0B"/>
    <w:rsid w:val="5D750977"/>
    <w:rsid w:val="5E601288"/>
    <w:rsid w:val="5E8F52AA"/>
    <w:rsid w:val="5EF7423A"/>
    <w:rsid w:val="5F027455"/>
    <w:rsid w:val="5FBA204D"/>
    <w:rsid w:val="600A135B"/>
    <w:rsid w:val="60163727"/>
    <w:rsid w:val="60B473B2"/>
    <w:rsid w:val="61483DB4"/>
    <w:rsid w:val="61B7152A"/>
    <w:rsid w:val="61D45D59"/>
    <w:rsid w:val="62252117"/>
    <w:rsid w:val="622C337E"/>
    <w:rsid w:val="628249C7"/>
    <w:rsid w:val="629F4F47"/>
    <w:rsid w:val="62CC7A8E"/>
    <w:rsid w:val="63800F24"/>
    <w:rsid w:val="63DD630A"/>
    <w:rsid w:val="63F57AF7"/>
    <w:rsid w:val="64BA3B41"/>
    <w:rsid w:val="64DC60FC"/>
    <w:rsid w:val="65D33E68"/>
    <w:rsid w:val="664756B3"/>
    <w:rsid w:val="67543046"/>
    <w:rsid w:val="693507CF"/>
    <w:rsid w:val="69403C5F"/>
    <w:rsid w:val="694924CB"/>
    <w:rsid w:val="69E403F2"/>
    <w:rsid w:val="6A2168B2"/>
    <w:rsid w:val="6A9F256B"/>
    <w:rsid w:val="6B652B49"/>
    <w:rsid w:val="6C807682"/>
    <w:rsid w:val="6CE4171B"/>
    <w:rsid w:val="6D86296C"/>
    <w:rsid w:val="6D8A583B"/>
    <w:rsid w:val="6F710E95"/>
    <w:rsid w:val="6FA4250A"/>
    <w:rsid w:val="6FCC5367"/>
    <w:rsid w:val="6FE728C1"/>
    <w:rsid w:val="70CA6BDB"/>
    <w:rsid w:val="711702D6"/>
    <w:rsid w:val="717149FA"/>
    <w:rsid w:val="718E331F"/>
    <w:rsid w:val="724E776C"/>
    <w:rsid w:val="72677E12"/>
    <w:rsid w:val="72940443"/>
    <w:rsid w:val="72AC3A77"/>
    <w:rsid w:val="72D059B7"/>
    <w:rsid w:val="731F215B"/>
    <w:rsid w:val="73306456"/>
    <w:rsid w:val="74115F94"/>
    <w:rsid w:val="74300586"/>
    <w:rsid w:val="74402A47"/>
    <w:rsid w:val="75DE035D"/>
    <w:rsid w:val="76D84D9A"/>
    <w:rsid w:val="76EA732E"/>
    <w:rsid w:val="77471BB0"/>
    <w:rsid w:val="774E68B0"/>
    <w:rsid w:val="77851CE6"/>
    <w:rsid w:val="78FD327E"/>
    <w:rsid w:val="79FC7092"/>
    <w:rsid w:val="7A5D04A4"/>
    <w:rsid w:val="7AD27D42"/>
    <w:rsid w:val="7B014A1A"/>
    <w:rsid w:val="7B2300FE"/>
    <w:rsid w:val="7DA952DE"/>
    <w:rsid w:val="7DAF766D"/>
    <w:rsid w:val="7DD81BC4"/>
    <w:rsid w:val="7DE43AAC"/>
    <w:rsid w:val="7ED11BD4"/>
    <w:rsid w:val="7EE2719E"/>
    <w:rsid w:val="7FB015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4">
    <w:name w:val="heading 2"/>
    <w:basedOn w:val="1"/>
    <w:next w:val="1"/>
    <w:link w:val="68"/>
    <w:qFormat/>
    <w:uiPriority w:val="0"/>
    <w:pPr>
      <w:keepNext/>
      <w:keepLines/>
      <w:adjustRightInd w:val="0"/>
      <w:snapToGrid w:val="0"/>
      <w:spacing w:before="120" w:after="120" w:line="360" w:lineRule="auto"/>
      <w:ind w:leftChars="200"/>
      <w:outlineLvl w:val="1"/>
    </w:pPr>
    <w:rPr>
      <w:rFonts w:ascii="宋体" w:hAnsi="宋体" w:eastAsia="仿宋"/>
      <w:b/>
      <w:sz w:val="24"/>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paragraph" w:styleId="6">
    <w:name w:val="heading 4"/>
    <w:basedOn w:val="1"/>
    <w:next w:val="1"/>
    <w:qFormat/>
    <w:uiPriority w:val="0"/>
    <w:pPr>
      <w:keepNext/>
      <w:keepLines/>
      <w:numPr>
        <w:ilvl w:val="0"/>
        <w:numId w:val="1"/>
      </w:numPr>
      <w:spacing w:before="560" w:beforeLines="0" w:after="290" w:afterLines="0" w:line="377"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60">
    <w:name w:val="Default Paragraph Font"/>
    <w:qFormat/>
    <w:uiPriority w:val="0"/>
  </w:style>
  <w:style w:type="table" w:default="1" w:styleId="5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39"/>
    <w:pPr>
      <w:ind w:left="2520" w:leftChars="1200"/>
    </w:pPr>
  </w:style>
  <w:style w:type="paragraph" w:styleId="14">
    <w:name w:val="List Number 2"/>
    <w:basedOn w:val="1"/>
    <w:qFormat/>
    <w:uiPriority w:val="0"/>
    <w:pPr>
      <w:numPr>
        <w:ilvl w:val="0"/>
        <w:numId w:val="2"/>
      </w:numPr>
      <w:spacing w:line="360" w:lineRule="auto"/>
    </w:pPr>
    <w:rPr>
      <w:sz w:val="24"/>
    </w:rPr>
  </w:style>
  <w:style w:type="paragraph" w:styleId="15">
    <w:name w:val="List Bullet 4"/>
    <w:basedOn w:val="1"/>
    <w:qFormat/>
    <w:uiPriority w:val="0"/>
    <w:pPr>
      <w:widowControl/>
      <w:numPr>
        <w:ilvl w:val="0"/>
        <w:numId w:val="3"/>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pPr>
      <w:spacing w:before="120" w:beforeLines="0" w:beforeAutospacing="0"/>
    </w:pPr>
    <w:rPr>
      <w:rFonts w:ascii="Arial" w:hAnsi="Arial"/>
      <w:sz w:val="24"/>
    </w:rPr>
  </w:style>
  <w:style w:type="paragraph" w:styleId="20">
    <w:name w:val="annotation text"/>
    <w:basedOn w:val="1"/>
    <w:link w:val="69"/>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Salutation"/>
    <w:basedOn w:val="1"/>
    <w:next w:val="1"/>
    <w:qFormat/>
    <w:uiPriority w:val="0"/>
    <w:pPr>
      <w:widowControl w:val="0"/>
      <w:adjustRightInd/>
      <w:snapToGrid/>
      <w:spacing w:after="0" w:line="240" w:lineRule="auto"/>
      <w:jc w:val="both"/>
    </w:pPr>
    <w:rPr>
      <w:rFonts w:asciiTheme="minorHAnsi" w:hAnsiTheme="minorHAnsi" w:eastAsiaTheme="minorEastAsia"/>
      <w:sz w:val="24"/>
    </w:rPr>
  </w:style>
  <w:style w:type="paragraph" w:styleId="22">
    <w:name w:val="Body Text 3"/>
    <w:basedOn w:val="1"/>
    <w:qFormat/>
    <w:uiPriority w:val="0"/>
    <w:pPr>
      <w:adjustRightInd w:val="0"/>
      <w:snapToGrid w:val="0"/>
      <w:spacing w:after="120" w:afterLines="0" w:afterAutospacing="0" w:line="360" w:lineRule="auto"/>
    </w:pPr>
    <w:rPr>
      <w:sz w:val="16"/>
    </w:rPr>
  </w:style>
  <w:style w:type="paragraph" w:styleId="23">
    <w:name w:val="List Bullet 3"/>
    <w:basedOn w:val="1"/>
    <w:qFormat/>
    <w:uiPriority w:val="0"/>
    <w:pPr>
      <w:numPr>
        <w:ilvl w:val="0"/>
        <w:numId w:val="4"/>
      </w:numPr>
      <w:adjustRightInd w:val="0"/>
      <w:snapToGrid w:val="0"/>
      <w:spacing w:line="360" w:lineRule="auto"/>
    </w:pPr>
    <w:rPr>
      <w:sz w:val="24"/>
    </w:rPr>
  </w:style>
  <w:style w:type="paragraph" w:styleId="24">
    <w:name w:val="Body Text Indent"/>
    <w:basedOn w:val="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afterLines="0" w:afterAutospacing="0" w:line="360" w:lineRule="auto"/>
      <w:ind w:left="420" w:leftChars="200"/>
    </w:pPr>
    <w:rPr>
      <w:sz w:val="24"/>
    </w:rPr>
  </w:style>
  <w:style w:type="paragraph" w:styleId="28">
    <w:name w:val="List Bullet 2"/>
    <w:basedOn w:val="1"/>
    <w:qFormat/>
    <w:uiPriority w:val="0"/>
    <w:pPr>
      <w:numPr>
        <w:ilvl w:val="0"/>
        <w:numId w:val="5"/>
      </w:numPr>
      <w:adjustRightInd w:val="0"/>
      <w:snapToGrid w:val="0"/>
      <w:spacing w:line="360" w:lineRule="auto"/>
    </w:pPr>
    <w:rPr>
      <w:sz w:val="24"/>
    </w:rPr>
  </w:style>
  <w:style w:type="paragraph" w:styleId="29">
    <w:name w:val="toc 5"/>
    <w:basedOn w:val="1"/>
    <w:next w:val="1"/>
    <w:qFormat/>
    <w:uiPriority w:val="39"/>
    <w:pPr>
      <w:ind w:left="1680" w:leftChars="800"/>
    </w:pPr>
  </w:style>
  <w:style w:type="paragraph" w:styleId="30">
    <w:name w:val="toc 3"/>
    <w:basedOn w:val="1"/>
    <w:next w:val="1"/>
    <w:qFormat/>
    <w:uiPriority w:val="39"/>
    <w:pPr>
      <w:ind w:left="840" w:leftChars="400"/>
    </w:pPr>
  </w:style>
  <w:style w:type="paragraph" w:styleId="31">
    <w:name w:val="Plain Text"/>
    <w:basedOn w:val="1"/>
    <w:link w:val="70"/>
    <w:qFormat/>
    <w:uiPriority w:val="0"/>
    <w:pPr>
      <w:adjustRightInd w:val="0"/>
      <w:snapToGrid w:val="0"/>
      <w:spacing w:line="360" w:lineRule="auto"/>
    </w:pPr>
    <w:rPr>
      <w:rFonts w:ascii="宋体" w:hAnsi="Courier New"/>
      <w:sz w:val="21"/>
    </w:rPr>
  </w:style>
  <w:style w:type="paragraph" w:styleId="32">
    <w:name w:val="toc 8"/>
    <w:basedOn w:val="1"/>
    <w:next w:val="1"/>
    <w:qFormat/>
    <w:uiPriority w:val="39"/>
    <w:pPr>
      <w:ind w:left="2940" w:leftChars="1400"/>
    </w:pPr>
  </w:style>
  <w:style w:type="paragraph" w:styleId="33">
    <w:name w:val="Date"/>
    <w:basedOn w:val="1"/>
    <w:next w:val="1"/>
    <w:link w:val="71"/>
    <w:qFormat/>
    <w:uiPriority w:val="0"/>
  </w:style>
  <w:style w:type="paragraph" w:styleId="34">
    <w:name w:val="Body Text Indent 2"/>
    <w:basedOn w:val="1"/>
    <w:qFormat/>
    <w:uiPriority w:val="0"/>
    <w:pPr>
      <w:snapToGrid w:val="0"/>
      <w:spacing w:line="440" w:lineRule="atLeast"/>
      <w:ind w:firstLine="570"/>
    </w:pPr>
    <w:rPr>
      <w:rFonts w:ascii="宋体"/>
    </w:rPr>
  </w:style>
  <w:style w:type="paragraph" w:styleId="35">
    <w:name w:val="Balloon Text"/>
    <w:basedOn w:val="1"/>
    <w:qFormat/>
    <w:uiPriority w:val="0"/>
    <w:rPr>
      <w:sz w:val="18"/>
    </w:rPr>
  </w:style>
  <w:style w:type="paragraph" w:styleId="36">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7">
    <w:name w:val="header"/>
    <w:basedOn w:val="1"/>
    <w:link w:val="72"/>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9">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40">
    <w:name w:val="toc 4"/>
    <w:basedOn w:val="1"/>
    <w:next w:val="1"/>
    <w:qFormat/>
    <w:uiPriority w:val="39"/>
    <w:pPr>
      <w:ind w:left="1260" w:leftChars="600"/>
    </w:pPr>
  </w:style>
  <w:style w:type="paragraph" w:styleId="41">
    <w:name w:val="footnote text"/>
    <w:basedOn w:val="1"/>
    <w:qFormat/>
    <w:uiPriority w:val="0"/>
    <w:pPr>
      <w:spacing w:line="360" w:lineRule="auto"/>
    </w:pPr>
    <w:rPr>
      <w:sz w:val="18"/>
    </w:rPr>
  </w:style>
  <w:style w:type="paragraph" w:styleId="42">
    <w:name w:val="toc 6"/>
    <w:basedOn w:val="1"/>
    <w:next w:val="1"/>
    <w:qFormat/>
    <w:uiPriority w:val="39"/>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tabs>
        <w:tab w:val="right" w:leader="dot" w:pos="8400"/>
      </w:tabs>
      <w:spacing w:line="440" w:lineRule="exact"/>
      <w:ind w:left="280" w:leftChars="100" w:rightChars="-91"/>
    </w:pPr>
  </w:style>
  <w:style w:type="paragraph" w:styleId="47">
    <w:name w:val="toc 9"/>
    <w:basedOn w:val="1"/>
    <w:next w:val="1"/>
    <w:qFormat/>
    <w:uiPriority w:val="39"/>
    <w:pPr>
      <w:ind w:left="3360" w:leftChars="1600"/>
    </w:pPr>
  </w:style>
  <w:style w:type="paragraph" w:styleId="48">
    <w:name w:val="Body Text 2"/>
    <w:basedOn w:val="1"/>
    <w:qFormat/>
    <w:uiPriority w:val="0"/>
    <w:pPr>
      <w:adjustRightInd w:val="0"/>
      <w:snapToGrid w:val="0"/>
      <w:spacing w:after="120" w:afterLines="0" w:afterAutospacing="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1">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afterLines="0" w:afterAutospacing="0" w:line="360" w:lineRule="auto"/>
      <w:jc w:val="center"/>
    </w:pPr>
    <w:rPr>
      <w:rFonts w:ascii="Arial" w:hAnsi="Arial" w:eastAsia="宋体"/>
      <w:b/>
      <w:smallCaps/>
      <w:kern w:val="28"/>
      <w:sz w:val="36"/>
      <w:lang w:val="en-US" w:eastAsia="en-US"/>
    </w:rPr>
  </w:style>
  <w:style w:type="paragraph" w:styleId="55">
    <w:name w:val="annotation subject"/>
    <w:basedOn w:val="20"/>
    <w:next w:val="20"/>
    <w:qFormat/>
    <w:uiPriority w:val="0"/>
    <w:pPr>
      <w:widowControl w:val="0"/>
      <w:tabs>
        <w:tab w:val="clear" w:pos="1134"/>
      </w:tabs>
      <w:adjustRightInd/>
      <w:snapToGrid/>
      <w:spacing w:line="240" w:lineRule="auto"/>
    </w:pPr>
    <w:rPr>
      <w:rFonts w:eastAsia="宋体"/>
      <w:b/>
      <w:kern w:val="2"/>
      <w:sz w:val="21"/>
      <w:lang w:val="en-US" w:eastAsia="zh-CN"/>
    </w:r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qFormat/>
    <w:uiPriority w:val="0"/>
    <w:pPr>
      <w:spacing w:after="120" w:afterLines="0" w:afterAutospacing="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rPr>
  </w:style>
  <w:style w:type="character" w:styleId="67">
    <w:name w:val="footnote reference"/>
    <w:qFormat/>
    <w:uiPriority w:val="0"/>
    <w:rPr>
      <w:position w:val="6"/>
      <w:sz w:val="14"/>
      <w:vertAlign w:val="superscript"/>
    </w:rPr>
  </w:style>
  <w:style w:type="character" w:customStyle="1" w:styleId="68">
    <w:name w:val="标题 2 字符1"/>
    <w:link w:val="4"/>
    <w:qFormat/>
    <w:uiPriority w:val="0"/>
    <w:rPr>
      <w:rFonts w:ascii="宋体" w:hAnsi="宋体" w:eastAsia="仿宋"/>
      <w:b/>
      <w:kern w:val="2"/>
      <w:sz w:val="24"/>
    </w:rPr>
  </w:style>
  <w:style w:type="character" w:customStyle="1" w:styleId="69">
    <w:name w:val="批注文字 字符"/>
    <w:link w:val="20"/>
    <w:qFormat/>
    <w:uiPriority w:val="0"/>
    <w:rPr>
      <w:rFonts w:eastAsia="PMingLiU"/>
      <w:sz w:val="24"/>
      <w:lang w:eastAsia="zh-TW"/>
    </w:rPr>
  </w:style>
  <w:style w:type="character" w:customStyle="1" w:styleId="70">
    <w:name w:val="纯文本 字符"/>
    <w:link w:val="31"/>
    <w:qFormat/>
    <w:uiPriority w:val="0"/>
    <w:rPr>
      <w:rFonts w:ascii="宋体" w:hAnsi="Courier New"/>
      <w:kern w:val="2"/>
      <w:sz w:val="21"/>
    </w:rPr>
  </w:style>
  <w:style w:type="character" w:customStyle="1" w:styleId="71">
    <w:name w:val="日期 字符1"/>
    <w:link w:val="33"/>
    <w:qFormat/>
    <w:uiPriority w:val="0"/>
    <w:rPr>
      <w:kern w:val="2"/>
      <w:sz w:val="28"/>
    </w:rPr>
  </w:style>
  <w:style w:type="character" w:customStyle="1" w:styleId="72">
    <w:name w:val="页眉 字符"/>
    <w:link w:val="37"/>
    <w:qFormat/>
    <w:uiPriority w:val="99"/>
    <w:rPr>
      <w:kern w:val="2"/>
      <w:sz w:val="18"/>
    </w:rPr>
  </w:style>
  <w:style w:type="character" w:customStyle="1" w:styleId="73">
    <w:name w:val=" Char Char7"/>
    <w:qFormat/>
    <w:uiPriority w:val="0"/>
    <w:rPr>
      <w:rFonts w:ascii="宋体" w:hAnsi="宋体" w:eastAsia="宋体"/>
      <w:kern w:val="2"/>
      <w:sz w:val="28"/>
    </w:rPr>
  </w:style>
  <w:style w:type="character" w:customStyle="1" w:styleId="74">
    <w:name w:val="标书正文:  0.74 厘米 Char1"/>
    <w:qFormat/>
    <w:uiPriority w:val="0"/>
    <w:rPr>
      <w:rFonts w:eastAsia="宋体"/>
      <w:kern w:val="2"/>
      <w:sz w:val="24"/>
      <w:lang w:val="en-US" w:eastAsia="zh-CN"/>
    </w:rPr>
  </w:style>
  <w:style w:type="character" w:customStyle="1" w:styleId="75">
    <w:name w:val="v151"/>
    <w:qFormat/>
    <w:uiPriority w:val="0"/>
    <w:rPr>
      <w:sz w:val="18"/>
    </w:rPr>
  </w:style>
  <w:style w:type="character" w:customStyle="1" w:styleId="76">
    <w:name w:val="样式 宋体"/>
    <w:qFormat/>
    <w:uiPriority w:val="0"/>
    <w:rPr>
      <w:rFonts w:ascii="宋体" w:hAnsi="宋体" w:eastAsia="宋体"/>
      <w:sz w:val="28"/>
    </w:rPr>
  </w:style>
  <w:style w:type="character" w:customStyle="1" w:styleId="77">
    <w:name w:val="top-det1"/>
    <w:qFormat/>
    <w:uiPriority w:val="0"/>
    <w:rPr>
      <w:b/>
      <w:color w:val="000000"/>
    </w:rPr>
  </w:style>
  <w:style w:type="character" w:customStyle="1" w:styleId="78">
    <w:name w:val=" Char Char6"/>
    <w:qFormat/>
    <w:uiPriority w:val="0"/>
    <w:rPr>
      <w:rFonts w:ascii="仿宋_GB2312" w:eastAsia="仿宋_GB2312"/>
      <w:kern w:val="2"/>
      <w:sz w:val="32"/>
    </w:rPr>
  </w:style>
  <w:style w:type="character" w:customStyle="1" w:styleId="79">
    <w:name w:val="content-white1"/>
    <w:qFormat/>
    <w:uiPriority w:val="0"/>
    <w:rPr>
      <w:rFonts w:ascii="_x000B__x000C_" w:hAnsi="_x000B__x000C_"/>
      <w:color w:val="auto"/>
      <w:sz w:val="18"/>
      <w:u w:val="none"/>
    </w:rPr>
  </w:style>
  <w:style w:type="character" w:customStyle="1" w:styleId="80">
    <w:name w:val="font1"/>
    <w:qFormat/>
    <w:uiPriority w:val="0"/>
    <w:rPr>
      <w:color w:val="000000"/>
      <w:sz w:val="18"/>
    </w:rPr>
  </w:style>
  <w:style w:type="character" w:customStyle="1" w:styleId="81">
    <w:name w:val="正文 + 三号 Char"/>
    <w:qFormat/>
    <w:uiPriority w:val="0"/>
    <w:rPr>
      <w:rFonts w:eastAsia="宋体"/>
      <w:kern w:val="2"/>
      <w:sz w:val="21"/>
      <w:lang w:val="en-US" w:eastAsia="zh-CN"/>
    </w:rPr>
  </w:style>
  <w:style w:type="character" w:customStyle="1" w:styleId="82">
    <w:name w:val="Table Text Char Char Char Char"/>
    <w:qFormat/>
    <w:uiPriority w:val="0"/>
    <w:rPr>
      <w:rFonts w:ascii="Arial" w:hAnsi="Arial"/>
      <w:kern w:val="2"/>
      <w:sz w:val="18"/>
      <w:lang w:val="en-US" w:eastAsia="zh-CN" w:bidi="ar-SA"/>
    </w:rPr>
  </w:style>
  <w:style w:type="character" w:customStyle="1" w:styleId="83">
    <w:name w:val="Table Text Char1 Char"/>
    <w:qFormat/>
    <w:uiPriority w:val="0"/>
    <w:rPr>
      <w:rFonts w:ascii="Arial" w:hAnsi="Arial"/>
      <w:kern w:val="2"/>
      <w:sz w:val="18"/>
      <w:lang w:val="en-US" w:eastAsia="zh-CN" w:bidi="ar-SA"/>
    </w:rPr>
  </w:style>
  <w:style w:type="character" w:customStyle="1" w:styleId="84">
    <w:name w:val="未命名11"/>
    <w:qFormat/>
    <w:uiPriority w:val="0"/>
    <w:rPr>
      <w:color w:val="77FFFF"/>
      <w:sz w:val="24"/>
    </w:rPr>
  </w:style>
  <w:style w:type="character" w:customStyle="1" w:styleId="85">
    <w:name w:val=" Char Char4"/>
    <w:qFormat/>
    <w:uiPriority w:val="0"/>
    <w:rPr>
      <w:rFonts w:eastAsia="宋体"/>
      <w:b/>
      <w:kern w:val="2"/>
      <w:sz w:val="21"/>
      <w:lang w:val="en-US" w:eastAsia="zh-CN"/>
    </w:rPr>
  </w:style>
  <w:style w:type="character" w:customStyle="1" w:styleId="86">
    <w:name w:val=" Char Char3"/>
    <w:qFormat/>
    <w:uiPriority w:val="0"/>
    <w:rPr>
      <w:rFonts w:eastAsia="宋体"/>
      <w:kern w:val="2"/>
      <w:sz w:val="18"/>
      <w:lang w:val="en-US" w:eastAsia="zh-CN"/>
    </w:rPr>
  </w:style>
  <w:style w:type="character" w:customStyle="1" w:styleId="87">
    <w:name w:val="Table Heading Char Char"/>
    <w:qFormat/>
    <w:uiPriority w:val="0"/>
    <w:rPr>
      <w:rFonts w:ascii="Arial" w:hAnsi="Arial" w:eastAsia="黑体"/>
      <w:kern w:val="2"/>
      <w:sz w:val="18"/>
      <w:lang w:val="en-US" w:eastAsia="zh-CN"/>
    </w:rPr>
  </w:style>
  <w:style w:type="character" w:customStyle="1" w:styleId="88">
    <w:name w:val="crowed11"/>
    <w:qFormat/>
    <w:uiPriority w:val="0"/>
    <w:rPr>
      <w:rFonts w:hint="default" w:ascii="_x000B__x000C_" w:hAnsi="_x000B__x000C_"/>
      <w:sz w:val="24"/>
    </w:rPr>
  </w:style>
  <w:style w:type="character" w:customStyle="1" w:styleId="89">
    <w:name w:val=" Char Char2"/>
    <w:qFormat/>
    <w:uiPriority w:val="0"/>
    <w:rPr>
      <w:rFonts w:eastAsia="宋体"/>
      <w:kern w:val="2"/>
      <w:sz w:val="18"/>
      <w:lang w:val="en-US" w:eastAsia="zh-CN"/>
    </w:rPr>
  </w:style>
  <w:style w:type="character" w:customStyle="1" w:styleId="90">
    <w:name w:val=" Char Char5"/>
    <w:qFormat/>
    <w:uiPriority w:val="0"/>
    <w:rPr>
      <w:rFonts w:ascii="Arial" w:hAnsi="Arial" w:eastAsia="宋体"/>
      <w:b/>
      <w:smallCaps/>
      <w:kern w:val="28"/>
      <w:sz w:val="36"/>
      <w:lang w:val="en-US" w:eastAsia="en-US"/>
    </w:rPr>
  </w:style>
  <w:style w:type="character" w:customStyle="1" w:styleId="91">
    <w:name w:val="Table Text Char"/>
    <w:qFormat/>
    <w:uiPriority w:val="0"/>
    <w:rPr>
      <w:rFonts w:ascii="Arial" w:hAnsi="Arial"/>
      <w:kern w:val="2"/>
      <w:sz w:val="18"/>
      <w:lang w:val="en-US" w:eastAsia="zh-CN" w:bidi="ar-SA"/>
    </w:rPr>
  </w:style>
  <w:style w:type="character" w:customStyle="1" w:styleId="92">
    <w:name w:val=" Char Char"/>
    <w:qFormat/>
    <w:uiPriority w:val="0"/>
    <w:rPr>
      <w:rFonts w:ascii="宋体" w:hAnsi="宋体" w:eastAsia="宋体"/>
      <w:kern w:val="2"/>
      <w:sz w:val="24"/>
      <w:lang w:val="en-US" w:eastAsia="zh-CN" w:bidi="ar-SA"/>
    </w:rPr>
  </w:style>
  <w:style w:type="character" w:customStyle="1" w:styleId="93">
    <w:name w:val="小 Char"/>
    <w:qFormat/>
    <w:uiPriority w:val="0"/>
    <w:rPr>
      <w:rFonts w:ascii="宋体" w:hAnsi="Courier New" w:eastAsia="宋体"/>
      <w:kern w:val="2"/>
      <w:sz w:val="21"/>
      <w:lang w:val="en-US" w:eastAsia="zh-CN" w:bidi="ar-SA"/>
    </w:rPr>
  </w:style>
  <w:style w:type="character" w:customStyle="1" w:styleId="94">
    <w:name w:val="文字 Char"/>
    <w:link w:val="95"/>
    <w:qFormat/>
    <w:uiPriority w:val="0"/>
    <w:rPr>
      <w:rFonts w:ascii="宋体" w:eastAsia="宋体"/>
      <w:kern w:val="2"/>
      <w:sz w:val="28"/>
      <w:lang w:val="en-US" w:eastAsia="zh-CN" w:bidi="ar-SA"/>
    </w:rPr>
  </w:style>
  <w:style w:type="paragraph" w:customStyle="1" w:styleId="95">
    <w:name w:val="文字"/>
    <w:basedOn w:val="1"/>
    <w:link w:val="94"/>
    <w:qFormat/>
    <w:uiPriority w:val="0"/>
    <w:pPr>
      <w:tabs>
        <w:tab w:val="left" w:pos="8520"/>
      </w:tabs>
      <w:spacing w:line="312" w:lineRule="auto"/>
      <w:ind w:right="-210" w:firstLine="556"/>
    </w:pPr>
    <w:rPr>
      <w:rFonts w:ascii="宋体"/>
    </w:rPr>
  </w:style>
  <w:style w:type="paragraph" w:customStyle="1" w:styleId="96">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97">
    <w:name w:val="bt"/>
    <w:basedOn w:val="1"/>
    <w:next w:val="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98">
    <w:name w:val="Char Char Char Char Char Char Char"/>
    <w:basedOn w:val="18"/>
    <w:qFormat/>
    <w:uiPriority w:val="0"/>
    <w:rPr>
      <w:rFonts w:ascii="宋体" w:hAnsi="Tahoma"/>
    </w:rPr>
  </w:style>
  <w:style w:type="paragraph" w:customStyle="1" w:styleId="99">
    <w:name w:val="正文（首行不缩进）"/>
    <w:basedOn w:val="1"/>
    <w:qFormat/>
    <w:uiPriority w:val="0"/>
    <w:pPr>
      <w:autoSpaceDE w:val="0"/>
      <w:autoSpaceDN w:val="0"/>
      <w:adjustRightInd w:val="0"/>
      <w:spacing w:line="360" w:lineRule="auto"/>
      <w:jc w:val="left"/>
    </w:pPr>
    <w:rPr>
      <w:kern w:val="0"/>
      <w:sz w:val="21"/>
    </w:rPr>
  </w:style>
  <w:style w:type="paragraph" w:customStyle="1" w:styleId="10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101">
    <w:name w:val="表文字"/>
    <w:qFormat/>
    <w:uiPriority w:val="0"/>
    <w:rPr>
      <w:rFonts w:ascii="宋体" w:hAnsi="Times New Roman" w:eastAsia="宋体" w:cs="Times New Roman"/>
      <w:kern w:val="2"/>
      <w:lang w:val="en-US" w:eastAsia="zh-CN" w:bidi="ar-SA"/>
    </w:rPr>
  </w:style>
  <w:style w:type="paragraph" w:customStyle="1" w:styleId="102">
    <w:name w:val=" Char Char1 Char"/>
    <w:basedOn w:val="1"/>
    <w:qFormat/>
    <w:uiPriority w:val="0"/>
    <w:rPr>
      <w:rFonts w:ascii="Tahoma" w:hAnsi="Tahoma"/>
      <w:sz w:val="24"/>
      <w:szCs w:val="24"/>
    </w:rPr>
  </w:style>
  <w:style w:type="paragraph" w:customStyle="1" w:styleId="103">
    <w:name w:val="1"/>
    <w:basedOn w:val="1"/>
    <w:qFormat/>
    <w:uiPriority w:val="0"/>
    <w:rPr>
      <w:rFonts w:ascii="Tahoma" w:hAnsi="Tahoma"/>
      <w:sz w:val="24"/>
    </w:rPr>
  </w:style>
  <w:style w:type="paragraph" w:customStyle="1" w:styleId="104">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05">
    <w:name w:val="表格内文字"/>
    <w:basedOn w:val="31"/>
    <w:qFormat/>
    <w:uiPriority w:val="0"/>
    <w:pPr>
      <w:snapToGrid/>
      <w:spacing w:line="240" w:lineRule="auto"/>
    </w:pPr>
    <w:rPr>
      <w:color w:val="000000"/>
      <w:lang w:val="en-GB"/>
    </w:rPr>
  </w:style>
  <w:style w:type="paragraph" w:customStyle="1" w:styleId="106">
    <w:name w:val=" Char Char Char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107">
    <w:name w:val="默认段落字体 Para Char Char Char Char Char Char Char Char Char1 Char Char Char Char"/>
    <w:basedOn w:val="1"/>
    <w:qFormat/>
    <w:uiPriority w:val="0"/>
    <w:rPr>
      <w:rFonts w:ascii="Tahoma" w:hAnsi="Tahoma"/>
      <w:sz w:val="24"/>
    </w:rPr>
  </w:style>
  <w:style w:type="paragraph" w:customStyle="1" w:styleId="108">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09">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10">
    <w:name w:val="Char Char1 Char Char Char Char Char Char Char Char"/>
    <w:basedOn w:val="1"/>
    <w:qFormat/>
    <w:uiPriority w:val="0"/>
    <w:pPr>
      <w:widowControl/>
      <w:spacing w:after="160" w:afterLines="0" w:line="240" w:lineRule="exact"/>
      <w:jc w:val="left"/>
    </w:pPr>
    <w:rPr>
      <w:rFonts w:ascii="Verdana" w:hAnsi="Verdana"/>
      <w:kern w:val="0"/>
      <w:sz w:val="20"/>
      <w:lang w:eastAsia="en-US"/>
    </w:rPr>
  </w:style>
  <w:style w:type="paragraph" w:customStyle="1" w:styleId="111">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12">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1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14">
    <w:name w:val="关键词"/>
    <w:basedOn w:val="1"/>
    <w:next w:val="1"/>
    <w:qFormat/>
    <w:uiPriority w:val="0"/>
    <w:pPr>
      <w:spacing w:line="360" w:lineRule="auto"/>
    </w:pPr>
    <w:rPr>
      <w:rFonts w:eastAsia="黑体"/>
      <w:sz w:val="20"/>
    </w:rPr>
  </w:style>
  <w:style w:type="paragraph" w:customStyle="1" w:styleId="115">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6">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17">
    <w:name w:val="Body Text Indent 2"/>
    <w:basedOn w:val="1"/>
    <w:qFormat/>
    <w:uiPriority w:val="0"/>
    <w:pPr>
      <w:adjustRightInd w:val="0"/>
      <w:spacing w:before="120" w:beforeLines="0" w:beforeAutospacing="0"/>
      <w:ind w:firstLine="420"/>
      <w:textAlignment w:val="baseline"/>
    </w:pPr>
    <w:rPr>
      <w:sz w:val="24"/>
    </w:rPr>
  </w:style>
  <w:style w:type="paragraph" w:customStyle="1" w:styleId="118">
    <w:name w:val="Item Step in Table"/>
    <w:qFormat/>
    <w:uiPriority w:val="0"/>
    <w:pPr>
      <w:numPr>
        <w:ilvl w:val="0"/>
        <w:numId w:val="7"/>
      </w:numPr>
      <w:spacing w:before="40" w:after="40"/>
      <w:jc w:val="both"/>
    </w:pPr>
    <w:rPr>
      <w:rFonts w:ascii="Arial" w:hAnsi="Arial" w:eastAsia="宋体" w:cs="Times New Roman"/>
      <w:sz w:val="18"/>
      <w:lang w:val="en-US" w:eastAsia="zh-CN" w:bidi="ar-SA"/>
    </w:rPr>
  </w:style>
  <w:style w:type="paragraph" w:customStyle="1" w:styleId="119">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20">
    <w:name w:val="样式2"/>
    <w:basedOn w:val="6"/>
    <w:qFormat/>
    <w:uiPriority w:val="0"/>
    <w:pPr>
      <w:numPr>
        <w:ilvl w:val="0"/>
        <w:numId w:val="8"/>
      </w:numPr>
      <w:spacing w:line="400" w:lineRule="exact"/>
      <w:jc w:val="center"/>
      <w:outlineLvl w:val="0"/>
    </w:pPr>
    <w:rPr>
      <w:b w:val="0"/>
      <w:sz w:val="44"/>
    </w:rPr>
  </w:style>
  <w:style w:type="paragraph" w:customStyle="1" w:styleId="121">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122">
    <w:name w:val=" Char Char Char"/>
    <w:basedOn w:val="1"/>
    <w:qFormat/>
    <w:uiPriority w:val="0"/>
    <w:rPr>
      <w:rFonts w:ascii="Tahoma" w:hAnsi="Tahoma"/>
      <w:sz w:val="24"/>
    </w:rPr>
  </w:style>
  <w:style w:type="paragraph" w:customStyle="1" w:styleId="12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4">
    <w:name w:val="默认段落字体 Para Char Char Char Char Char Char Char"/>
    <w:basedOn w:val="1"/>
    <w:qFormat/>
    <w:uiPriority w:val="0"/>
    <w:rPr>
      <w:rFonts w:ascii="Tahoma" w:hAnsi="Tahoma"/>
      <w:sz w:val="24"/>
    </w:rPr>
  </w:style>
  <w:style w:type="paragraph" w:customStyle="1" w:styleId="12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26">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27">
    <w:name w:val="表头样式"/>
    <w:basedOn w:val="1"/>
    <w:qFormat/>
    <w:uiPriority w:val="0"/>
    <w:pPr>
      <w:autoSpaceDE w:val="0"/>
      <w:autoSpaceDN w:val="0"/>
      <w:adjustRightInd w:val="0"/>
      <w:spacing w:line="360" w:lineRule="auto"/>
      <w:jc w:val="left"/>
    </w:pPr>
    <w:rPr>
      <w:b/>
      <w:kern w:val="0"/>
      <w:sz w:val="21"/>
    </w:rPr>
  </w:style>
  <w:style w:type="paragraph" w:customStyle="1" w:styleId="128">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29">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30">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31">
    <w:name w:val="章标题"/>
    <w:next w:val="1"/>
    <w:qFormat/>
    <w:uiPriority w:val="0"/>
    <w:pPr>
      <w:numPr>
        <w:ilvl w:val="1"/>
        <w:numId w:val="9"/>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32">
    <w:name w:val="样式 标题 6第五层条 + 三号 段前: 0.5 行"/>
    <w:basedOn w:val="8"/>
    <w:qFormat/>
    <w:uiPriority w:val="0"/>
    <w:pPr>
      <w:widowControl/>
      <w:numPr>
        <w:ilvl w:val="5"/>
        <w:numId w:val="0"/>
      </w:numPr>
      <w:adjustRightInd/>
      <w:snapToGrid/>
      <w:spacing w:before="156" w:beforeLines="50" w:beforeAutospacing="0"/>
      <w:ind w:left="1152" w:hanging="1152"/>
      <w:jc w:val="left"/>
    </w:pPr>
    <w:rPr>
      <w:snapToGrid w:val="0"/>
      <w:kern w:val="24"/>
      <w:sz w:val="28"/>
    </w:rPr>
  </w:style>
  <w:style w:type="paragraph" w:customStyle="1" w:styleId="133">
    <w:name w:val="Title - Date"/>
    <w:basedOn w:val="54"/>
    <w:next w:val="1"/>
    <w:qFormat/>
    <w:uiPriority w:val="0"/>
    <w:pPr>
      <w:spacing w:before="240" w:beforeLines="0" w:beforeAutospacing="0" w:after="720" w:afterLines="0" w:afterAutospacing="0"/>
    </w:pPr>
    <w:rPr>
      <w:sz w:val="28"/>
    </w:rPr>
  </w:style>
  <w:style w:type="paragraph" w:customStyle="1" w:styleId="134">
    <w:name w:val="样式 宋体 五号 行距: 单倍行距"/>
    <w:basedOn w:val="1"/>
    <w:qFormat/>
    <w:uiPriority w:val="0"/>
    <w:pPr>
      <w:adjustRightInd w:val="0"/>
      <w:jc w:val="left"/>
    </w:pPr>
    <w:rPr>
      <w:rFonts w:ascii="宋体" w:hAnsi="宋体"/>
      <w:kern w:val="0"/>
      <w:sz w:val="21"/>
    </w:rPr>
  </w:style>
  <w:style w:type="paragraph" w:customStyle="1" w:styleId="135">
    <w:name w:val="文章正文"/>
    <w:basedOn w:val="1"/>
    <w:qFormat/>
    <w:uiPriority w:val="0"/>
    <w:pPr>
      <w:ind w:firstLine="560" w:firstLineChars="200"/>
    </w:pPr>
    <w:rPr>
      <w:rFonts w:ascii="仿宋_GB2312" w:hAnsi="宋体" w:eastAsia="仿宋_GB2312"/>
      <w:color w:val="000000"/>
    </w:rPr>
  </w:style>
  <w:style w:type="paragraph" w:customStyle="1" w:styleId="136">
    <w:name w:val="操作步骤"/>
    <w:basedOn w:val="1"/>
    <w:qFormat/>
    <w:uiPriority w:val="0"/>
    <w:pPr>
      <w:numPr>
        <w:ilvl w:val="0"/>
        <w:numId w:val="10"/>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37">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38">
    <w:name w:val="Title - Revision"/>
    <w:basedOn w:val="54"/>
    <w:qFormat/>
    <w:uiPriority w:val="0"/>
    <w:pPr>
      <w:spacing w:before="720" w:beforeLines="0" w:beforeAutospacing="0"/>
    </w:pPr>
  </w:style>
  <w:style w:type="paragraph" w:customStyle="1" w:styleId="139">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40">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41">
    <w:name w:val=" Char1 Char Char Char"/>
    <w:basedOn w:val="1"/>
    <w:qFormat/>
    <w:uiPriority w:val="0"/>
    <w:rPr>
      <w:rFonts w:ascii="Tahoma" w:hAnsi="Tahoma"/>
      <w:sz w:val="24"/>
    </w:rPr>
  </w:style>
  <w:style w:type="paragraph" w:customStyle="1" w:styleId="142">
    <w:name w:val=" Char Char 字元 字元 字元 Char Char Char Char"/>
    <w:basedOn w:val="1"/>
    <w:qFormat/>
    <w:uiPriority w:val="0"/>
    <w:pPr>
      <w:adjustRightInd w:val="0"/>
      <w:spacing w:line="360" w:lineRule="auto"/>
    </w:pPr>
    <w:rPr>
      <w:kern w:val="0"/>
      <w:sz w:val="24"/>
    </w:rPr>
  </w:style>
  <w:style w:type="paragraph" w:customStyle="1" w:styleId="143">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44">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45">
    <w:name w:val="标题2"/>
    <w:basedOn w:val="4"/>
    <w:qFormat/>
    <w:uiPriority w:val="0"/>
    <w:pPr>
      <w:keepNext w:val="0"/>
      <w:keepLines w:val="0"/>
      <w:snapToGrid w:val="0"/>
      <w:spacing w:before="0" w:beforeLines="0" w:beforeAutospacing="0" w:after="0" w:afterLines="0" w:afterAutospacing="0"/>
      <w:ind w:firstLine="574" w:firstLineChars="196"/>
      <w:outlineLvl w:val="9"/>
    </w:pPr>
    <w:rPr>
      <w:spacing w:val="6"/>
      <w:u w:val="single"/>
    </w:rPr>
  </w:style>
  <w:style w:type="paragraph" w:customStyle="1" w:styleId="146">
    <w:name w:val="简单回函地址"/>
    <w:basedOn w:val="1"/>
    <w:qFormat/>
    <w:uiPriority w:val="0"/>
    <w:pPr>
      <w:adjustRightInd w:val="0"/>
      <w:snapToGrid w:val="0"/>
      <w:spacing w:line="360" w:lineRule="auto"/>
    </w:pPr>
    <w:rPr>
      <w:sz w:val="24"/>
    </w:rPr>
  </w:style>
  <w:style w:type="paragraph" w:customStyle="1" w:styleId="147">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148">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49">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50">
    <w:name w:val="表头文本"/>
    <w:qFormat/>
    <w:uiPriority w:val="0"/>
    <w:pPr>
      <w:jc w:val="center"/>
    </w:pPr>
    <w:rPr>
      <w:rFonts w:ascii="Arial" w:hAnsi="Arial" w:eastAsia="宋体" w:cs="Times New Roman"/>
      <w:b/>
      <w:sz w:val="21"/>
      <w:lang w:val="en-US" w:eastAsia="zh-CN" w:bidi="ar-SA"/>
    </w:rPr>
  </w:style>
  <w:style w:type="paragraph" w:customStyle="1" w:styleId="151">
    <w:name w:val=" Char"/>
    <w:basedOn w:val="1"/>
    <w:qFormat/>
    <w:uiPriority w:val="0"/>
    <w:pPr>
      <w:spacing w:line="240" w:lineRule="atLeast"/>
      <w:ind w:left="420" w:firstLine="420"/>
    </w:pPr>
    <w:rPr>
      <w:kern w:val="0"/>
      <w:sz w:val="21"/>
    </w:rPr>
  </w:style>
  <w:style w:type="paragraph" w:customStyle="1" w:styleId="152">
    <w:name w:val="标准正文"/>
    <w:basedOn w:val="24"/>
    <w:qFormat/>
    <w:uiPriority w:val="0"/>
    <w:pPr>
      <w:spacing w:before="60" w:beforeLines="0" w:beforeAutospacing="0" w:after="60" w:afterLines="0" w:afterAutospacing="0" w:line="360" w:lineRule="auto"/>
      <w:ind w:left="0" w:firstLine="482"/>
    </w:pPr>
    <w:rPr>
      <w:rFonts w:ascii="Arial" w:hAnsi="Arial"/>
      <w:sz w:val="24"/>
    </w:rPr>
  </w:style>
  <w:style w:type="paragraph" w:customStyle="1" w:styleId="153">
    <w:name w:val="Table Contents"/>
    <w:basedOn w:val="2"/>
    <w:qFormat/>
    <w:uiPriority w:val="0"/>
    <w:pPr>
      <w:suppressAutoHyphens/>
      <w:jc w:val="left"/>
    </w:pPr>
    <w:rPr>
      <w:rFonts w:ascii="Times New Roman" w:eastAsia="Times New Roman"/>
      <w:kern w:val="0"/>
      <w:sz w:val="24"/>
    </w:rPr>
  </w:style>
  <w:style w:type="paragraph" w:customStyle="1" w:styleId="154">
    <w:name w:val="可研正文"/>
    <w:basedOn w:val="2"/>
    <w:qFormat/>
    <w:uiPriority w:val="0"/>
    <w:pPr>
      <w:adjustRightInd w:val="0"/>
      <w:snapToGrid w:val="0"/>
      <w:spacing w:line="440" w:lineRule="exact"/>
      <w:ind w:firstLine="567"/>
    </w:pPr>
    <w:rPr>
      <w:sz w:val="28"/>
    </w:rPr>
  </w:style>
  <w:style w:type="paragraph" w:customStyle="1" w:styleId="155">
    <w:name w:val="样式1xz"/>
    <w:basedOn w:val="1"/>
    <w:qFormat/>
    <w:uiPriority w:val="0"/>
    <w:pPr>
      <w:tabs>
        <w:tab w:val="left" w:pos="1050"/>
        <w:tab w:val="right" w:leader="dot" w:pos="8296"/>
      </w:tabs>
    </w:pPr>
    <w:rPr>
      <w:caps/>
      <w:spacing w:val="20"/>
      <w:sz w:val="24"/>
    </w:rPr>
  </w:style>
  <w:style w:type="paragraph" w:customStyle="1" w:styleId="156">
    <w:name w:val="Char1 Char Char Char"/>
    <w:basedOn w:val="1"/>
    <w:qFormat/>
    <w:uiPriority w:val="0"/>
    <w:rPr>
      <w:rFonts w:ascii="Tahoma" w:hAnsi="Tahoma"/>
      <w:sz w:val="21"/>
    </w:rPr>
  </w:style>
  <w:style w:type="paragraph" w:customStyle="1" w:styleId="157">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58">
    <w:name w:val="表号"/>
    <w:basedOn w:val="1"/>
    <w:qFormat/>
    <w:uiPriority w:val="0"/>
    <w:pPr>
      <w:numPr>
        <w:ilvl w:val="0"/>
        <w:numId w:val="12"/>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159">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6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61">
    <w:name w:val="首行缩进"/>
    <w:basedOn w:val="1"/>
    <w:qFormat/>
    <w:uiPriority w:val="0"/>
    <w:pPr>
      <w:spacing w:line="360" w:lineRule="auto"/>
      <w:ind w:firstLine="420" w:firstLineChars="200"/>
    </w:pPr>
    <w:rPr>
      <w:sz w:val="21"/>
    </w:rPr>
  </w:style>
  <w:style w:type="paragraph" w:customStyle="1" w:styleId="162">
    <w:name w:val="样式1"/>
    <w:basedOn w:val="6"/>
    <w:qFormat/>
    <w:uiPriority w:val="0"/>
    <w:pPr>
      <w:spacing w:before="500" w:beforeLines="0" w:after="260" w:afterLines="0" w:line="560" w:lineRule="atLeast"/>
    </w:pPr>
  </w:style>
  <w:style w:type="paragraph" w:customStyle="1" w:styleId="163">
    <w:name w:val="样式3"/>
    <w:basedOn w:val="3"/>
    <w:next w:val="3"/>
    <w:qFormat/>
    <w:uiPriority w:val="0"/>
    <w:pPr>
      <w:keepLines/>
      <w:tabs>
        <w:tab w:val="clear" w:pos="3360"/>
      </w:tabs>
      <w:adjustRightInd w:val="0"/>
      <w:spacing w:before="340" w:beforeLines="0" w:beforeAutospacing="0" w:after="330" w:afterLines="0" w:afterAutospacing="0" w:line="576" w:lineRule="auto"/>
      <w:jc w:val="both"/>
    </w:pPr>
    <w:rPr>
      <w:b/>
      <w:kern w:val="44"/>
    </w:rPr>
  </w:style>
  <w:style w:type="paragraph" w:customStyle="1" w:styleId="164">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6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66">
    <w:name w:val="正文表格"/>
    <w:basedOn w:val="1"/>
    <w:qFormat/>
    <w:uiPriority w:val="0"/>
    <w:pPr>
      <w:adjustRightInd w:val="0"/>
      <w:spacing w:before="40" w:beforeLines="0" w:beforeAutospacing="0" w:after="40" w:afterLines="0" w:afterAutospacing="0"/>
    </w:pPr>
    <w:rPr>
      <w:sz w:val="24"/>
    </w:rPr>
  </w:style>
  <w:style w:type="paragraph" w:customStyle="1" w:styleId="167">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68">
    <w:name w:val="标题3——2"/>
    <w:basedOn w:val="5"/>
    <w:next w:val="56"/>
    <w:qFormat/>
    <w:uiPriority w:val="0"/>
    <w:pPr>
      <w:tabs>
        <w:tab w:val="left" w:pos="1280"/>
        <w:tab w:val="right" w:leader="dot" w:pos="8777"/>
      </w:tabs>
      <w:spacing w:before="312" w:beforeLines="100" w:beforeAutospacing="0" w:after="0" w:afterLines="0" w:afterAutospacing="0" w:line="240" w:lineRule="auto"/>
      <w:ind w:left="851" w:hanging="851"/>
      <w:jc w:val="both"/>
      <w:outlineLvl w:val="9"/>
    </w:pPr>
    <w:rPr>
      <w:rFonts w:ascii="黑体" w:hAnsi="宋体" w:eastAsia="黑体"/>
      <w:sz w:val="30"/>
    </w:rPr>
  </w:style>
  <w:style w:type="paragraph" w:customStyle="1" w:styleId="169">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70">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171">
    <w:name w:val=" Char Char Char Char Char"/>
    <w:basedOn w:val="1"/>
    <w:qFormat/>
    <w:uiPriority w:val="0"/>
    <w:pPr>
      <w:numPr>
        <w:ilvl w:val="0"/>
        <w:numId w:val="13"/>
      </w:numPr>
    </w:pPr>
    <w:rPr>
      <w:rFonts w:ascii="Tahoma" w:hAnsi="Tahoma"/>
      <w:sz w:val="24"/>
    </w:rPr>
  </w:style>
  <w:style w:type="paragraph" w:customStyle="1" w:styleId="172">
    <w:name w:val="标题无"/>
    <w:basedOn w:val="1"/>
    <w:qFormat/>
    <w:uiPriority w:val="0"/>
    <w:pPr>
      <w:spacing w:line="360" w:lineRule="auto"/>
    </w:pPr>
    <w:rPr>
      <w:sz w:val="24"/>
    </w:rPr>
  </w:style>
  <w:style w:type="paragraph" w:customStyle="1" w:styleId="173">
    <w:name w:val="样式4"/>
    <w:basedOn w:val="6"/>
    <w:qFormat/>
    <w:uiPriority w:val="0"/>
    <w:pPr>
      <w:numPr>
        <w:ilvl w:val="0"/>
        <w:numId w:val="0"/>
      </w:numPr>
      <w:adjustRightInd w:val="0"/>
      <w:snapToGrid w:val="0"/>
      <w:spacing w:before="280" w:beforeLines="0" w:beforeAutospacing="0" w:line="372" w:lineRule="auto"/>
    </w:pPr>
  </w:style>
  <w:style w:type="paragraph" w:customStyle="1" w:styleId="174">
    <w:name w:val="Note"/>
    <w:basedOn w:val="1"/>
    <w:qFormat/>
    <w:uiPriority w:val="0"/>
    <w:pPr>
      <w:pBdr>
        <w:top w:val="single" w:color="auto" w:sz="12" w:space="3"/>
        <w:bottom w:val="single" w:color="auto" w:sz="12" w:space="3"/>
      </w:pBdr>
      <w:spacing w:line="360" w:lineRule="auto"/>
    </w:pPr>
    <w:rPr>
      <w:sz w:val="24"/>
    </w:rPr>
  </w:style>
  <w:style w:type="paragraph" w:customStyle="1" w:styleId="175">
    <w:name w:val="摘要"/>
    <w:basedOn w:val="1"/>
    <w:next w:val="4"/>
    <w:qFormat/>
    <w:uiPriority w:val="0"/>
    <w:pPr>
      <w:spacing w:line="360" w:lineRule="auto"/>
    </w:pPr>
    <w:rPr>
      <w:rFonts w:eastAsia="黑体"/>
      <w:sz w:val="20"/>
    </w:rPr>
  </w:style>
  <w:style w:type="paragraph" w:customStyle="1" w:styleId="176">
    <w:name w:val="正文 + 三号"/>
    <w:basedOn w:val="1"/>
    <w:qFormat/>
    <w:uiPriority w:val="0"/>
    <w:rPr>
      <w:rFonts w:eastAsia="宋体"/>
      <w:kern w:val="2"/>
      <w:sz w:val="21"/>
      <w:lang w:val="en-US" w:eastAsia="zh-CN"/>
    </w:rPr>
  </w:style>
  <w:style w:type="paragraph" w:customStyle="1" w:styleId="177">
    <w:name w:val="IN Feature"/>
    <w:next w:val="17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78">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00"/>
    <w:basedOn w:val="1"/>
    <w:qFormat/>
    <w:uiPriority w:val="0"/>
    <w:pPr>
      <w:autoSpaceDE w:val="0"/>
      <w:autoSpaceDN w:val="0"/>
      <w:adjustRightInd w:val="0"/>
      <w:jc w:val="left"/>
    </w:pPr>
    <w:rPr>
      <w:rFonts w:ascii="黑体" w:eastAsia="黑体"/>
      <w:b/>
      <w:kern w:val="0"/>
      <w:sz w:val="20"/>
    </w:rPr>
  </w:style>
  <w:style w:type="paragraph" w:customStyle="1" w:styleId="180">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81">
    <w:name w:val="Char"/>
    <w:basedOn w:val="1"/>
    <w:qFormat/>
    <w:uiPriority w:val="0"/>
    <w:pPr>
      <w:widowControl/>
      <w:spacing w:line="400" w:lineRule="exact"/>
      <w:jc w:val="center"/>
    </w:pPr>
    <w:rPr>
      <w:sz w:val="24"/>
    </w:rPr>
  </w:style>
  <w:style w:type="paragraph" w:customStyle="1" w:styleId="182">
    <w:name w:val="标书正文:  0.74 厘米"/>
    <w:basedOn w:val="1"/>
    <w:qFormat/>
    <w:uiPriority w:val="0"/>
    <w:pPr>
      <w:snapToGrid w:val="0"/>
      <w:spacing w:line="360" w:lineRule="auto"/>
      <w:ind w:firstLine="420"/>
    </w:pPr>
    <w:rPr>
      <w:rFonts w:eastAsia="宋体"/>
      <w:kern w:val="2"/>
      <w:sz w:val="24"/>
      <w:lang w:val="en-US" w:eastAsia="zh-CN"/>
    </w:rPr>
  </w:style>
  <w:style w:type="paragraph" w:customStyle="1" w:styleId="18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84">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85">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86">
    <w:name w:val="_Style 184"/>
    <w:qFormat/>
    <w:uiPriority w:val="0"/>
    <w:rPr>
      <w:rFonts w:ascii="Times New Roman" w:hAnsi="Times New Roman" w:eastAsia="宋体" w:cs="Times New Roman"/>
      <w:kern w:val="2"/>
      <w:sz w:val="21"/>
      <w:lang w:val="en-US" w:eastAsia="zh-CN" w:bidi="ar-SA"/>
    </w:rPr>
  </w:style>
  <w:style w:type="paragraph" w:customStyle="1" w:styleId="187">
    <w:name w:val="首行缩进 1"/>
    <w:basedOn w:val="1"/>
    <w:qFormat/>
    <w:uiPriority w:val="0"/>
    <w:pPr>
      <w:spacing w:after="120" w:afterLines="0" w:afterAutospacing="0" w:line="360" w:lineRule="auto"/>
      <w:ind w:firstLine="200" w:firstLineChars="200"/>
    </w:pPr>
    <w:rPr>
      <w:sz w:val="24"/>
    </w:rPr>
  </w:style>
  <w:style w:type="paragraph" w:customStyle="1" w:styleId="18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9">
    <w:name w:val="样式 标题 1章标题Heading 0Section HeadPIM 1H1h11st levell11H1..."/>
    <w:basedOn w:val="3"/>
    <w:qFormat/>
    <w:uiPriority w:val="0"/>
    <w:pPr>
      <w:keepLines/>
      <w:pageBreakBefore/>
      <w:tabs>
        <w:tab w:val="left" w:pos="432"/>
        <w:tab w:val="clear" w:pos="3360"/>
      </w:tabs>
      <w:autoSpaceDE w:val="0"/>
      <w:autoSpaceDN w:val="0"/>
      <w:adjustRightInd w:val="0"/>
      <w:spacing w:before="340" w:beforeLines="0" w:beforeAutospacing="0" w:after="330" w:afterLines="0" w:afterAutospacing="0" w:line="578" w:lineRule="atLeast"/>
      <w:jc w:val="both"/>
      <w:textAlignment w:val="bottom"/>
    </w:pPr>
    <w:rPr>
      <w:rFonts w:ascii="宋体" w:hAnsi="宋体"/>
      <w:b/>
      <w:kern w:val="44"/>
      <w:sz w:val="36"/>
    </w:rPr>
  </w:style>
  <w:style w:type="paragraph" w:customStyle="1" w:styleId="190">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91">
    <w:name w:val="样式 行距: 1.5 倍行距1"/>
    <w:basedOn w:val="1"/>
    <w:qFormat/>
    <w:uiPriority w:val="0"/>
    <w:pPr>
      <w:snapToGrid w:val="0"/>
    </w:pPr>
    <w:rPr>
      <w:sz w:val="21"/>
    </w:rPr>
  </w:style>
  <w:style w:type="paragraph" w:customStyle="1" w:styleId="192">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93">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4">
    <w:name w:val="二级列表"/>
    <w:basedOn w:val="192"/>
    <w:next w:val="192"/>
    <w:qFormat/>
    <w:uiPriority w:val="0"/>
    <w:pPr>
      <w:tabs>
        <w:tab w:val="left" w:pos="2120"/>
      </w:tabs>
      <w:ind w:firstLine="0" w:firstLineChars="0"/>
    </w:pPr>
    <w:rPr>
      <w:b/>
    </w:rPr>
  </w:style>
  <w:style w:type="paragraph" w:customStyle="1" w:styleId="195">
    <w:name w:val="附录3"/>
    <w:basedOn w:val="1"/>
    <w:next w:val="1"/>
    <w:qFormat/>
    <w:uiPriority w:val="0"/>
    <w:pPr>
      <w:numPr>
        <w:ilvl w:val="2"/>
        <w:numId w:val="0"/>
      </w:numPr>
      <w:tabs>
        <w:tab w:val="left" w:pos="851"/>
      </w:tabs>
      <w:ind w:left="425" w:hanging="425"/>
      <w:outlineLvl w:val="2"/>
    </w:pPr>
    <w:rPr>
      <w:rFonts w:eastAsia="黑体"/>
      <w:b/>
      <w:sz w:val="32"/>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8">
    <w:name w:val="表格文本"/>
    <w:qFormat/>
    <w:uiPriority w:val="0"/>
    <w:pPr>
      <w:tabs>
        <w:tab w:val="decimal" w:pos="0"/>
      </w:tabs>
    </w:pPr>
    <w:rPr>
      <w:rFonts w:ascii="Arial" w:hAnsi="Arial" w:eastAsia="宋体" w:cs="Times New Roman"/>
      <w:sz w:val="21"/>
      <w:lang w:val="en-US" w:eastAsia="zh-CN" w:bidi="ar-SA"/>
    </w:rPr>
  </w:style>
  <w:style w:type="paragraph" w:customStyle="1" w:styleId="199">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200">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201">
    <w:name w:val="附录4"/>
    <w:basedOn w:val="1"/>
    <w:next w:val="1"/>
    <w:qFormat/>
    <w:uiPriority w:val="0"/>
    <w:pPr>
      <w:widowControl/>
      <w:numPr>
        <w:ilvl w:val="3"/>
        <w:numId w:val="0"/>
      </w:numPr>
      <w:tabs>
        <w:tab w:val="left" w:pos="1134"/>
      </w:tabs>
      <w:spacing w:line="300" w:lineRule="auto"/>
      <w:ind w:left="1361" w:hanging="1361"/>
      <w:outlineLvl w:val="3"/>
    </w:pPr>
    <w:rPr>
      <w:rFonts w:ascii="Arial" w:hAnsi="Arial" w:eastAsia="黑体"/>
      <w:kern w:val="0"/>
    </w:rPr>
  </w:style>
  <w:style w:type="paragraph" w:customStyle="1" w:styleId="202">
    <w:name w:val="样式 首行缩进:  0.74 厘米"/>
    <w:basedOn w:val="1"/>
    <w:qFormat/>
    <w:uiPriority w:val="0"/>
    <w:pPr>
      <w:spacing w:line="360" w:lineRule="auto"/>
      <w:ind w:firstLine="420"/>
    </w:pPr>
    <w:rPr>
      <w:sz w:val="24"/>
    </w:rPr>
  </w:style>
  <w:style w:type="paragraph" w:customStyle="1" w:styleId="203">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4">
    <w:name w:val="样式 样式 首行缩进:  2 字符 + 首行缩进:  2 字符"/>
    <w:basedOn w:val="1"/>
    <w:qFormat/>
    <w:uiPriority w:val="0"/>
    <w:pPr>
      <w:numPr>
        <w:ilvl w:val="0"/>
        <w:numId w:val="14"/>
      </w:numPr>
      <w:tabs>
        <w:tab w:val="clear" w:pos="1230"/>
      </w:tabs>
      <w:spacing w:line="360" w:lineRule="auto"/>
      <w:ind w:firstLine="480" w:firstLineChars="200"/>
    </w:pPr>
    <w:rPr>
      <w:sz w:val="24"/>
    </w:rPr>
  </w:style>
  <w:style w:type="paragraph" w:customStyle="1" w:styleId="205">
    <w:name w:val="列表项目"/>
    <w:basedOn w:val="1"/>
    <w:qFormat/>
    <w:uiPriority w:val="0"/>
    <w:pPr>
      <w:numPr>
        <w:ilvl w:val="0"/>
        <w:numId w:val="15"/>
      </w:numPr>
      <w:tabs>
        <w:tab w:val="left" w:pos="420"/>
        <w:tab w:val="clear" w:pos="980"/>
      </w:tabs>
      <w:spacing w:line="288" w:lineRule="auto"/>
      <w:ind w:left="840" w:leftChars="200" w:hanging="420" w:hangingChars="200"/>
    </w:pPr>
    <w:rPr>
      <w:sz w:val="21"/>
    </w:rPr>
  </w:style>
  <w:style w:type="paragraph" w:customStyle="1" w:styleId="206">
    <w:name w:val="编号正文"/>
    <w:basedOn w:val="190"/>
    <w:qFormat/>
    <w:uiPriority w:val="0"/>
    <w:pPr>
      <w:snapToGrid/>
      <w:spacing w:line="360" w:lineRule="auto"/>
      <w:ind w:left="1407" w:hanging="1047"/>
      <w:jc w:val="left"/>
    </w:pPr>
    <w:rPr>
      <w:rFonts w:eastAsia="仿宋_GB2312"/>
    </w:rPr>
  </w:style>
  <w:style w:type="paragraph" w:customStyle="1" w:styleId="207">
    <w:name w:val="图片文字"/>
    <w:basedOn w:val="1"/>
    <w:qFormat/>
    <w:uiPriority w:val="0"/>
    <w:pPr>
      <w:spacing w:line="240" w:lineRule="atLeast"/>
      <w:jc w:val="center"/>
    </w:pPr>
    <w:rPr>
      <w:sz w:val="21"/>
    </w:rPr>
  </w:style>
  <w:style w:type="paragraph" w:customStyle="1" w:styleId="208">
    <w:name w:val=" Char1"/>
    <w:basedOn w:val="1"/>
    <w:qFormat/>
    <w:uiPriority w:val="0"/>
    <w:rPr>
      <w:sz w:val="21"/>
    </w:rPr>
  </w:style>
  <w:style w:type="paragraph" w:customStyle="1" w:styleId="209">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210">
    <w:name w:val="样式 标题 1 + 居中 段前: 6 磅 段后: 6 磅 行距: 1.5 倍行距"/>
    <w:basedOn w:val="3"/>
    <w:qFormat/>
    <w:uiPriority w:val="0"/>
    <w:pPr>
      <w:keepLines/>
      <w:tabs>
        <w:tab w:val="clear" w:pos="3360"/>
      </w:tabs>
      <w:adjustRightInd w:val="0"/>
      <w:spacing w:before="120" w:beforeLines="0" w:beforeAutospacing="0" w:line="360" w:lineRule="auto"/>
    </w:pPr>
    <w:rPr>
      <w:rFonts w:eastAsia="宋体"/>
      <w:b/>
      <w:kern w:val="44"/>
      <w:sz w:val="32"/>
    </w:rPr>
  </w:style>
  <w:style w:type="paragraph" w:customStyle="1" w:styleId="211">
    <w:name w:val="Style Heading 3h3Heading 3 - oldLevel 3 HeadH3level_3PIM 3se..."/>
    <w:basedOn w:val="5"/>
    <w:qFormat/>
    <w:uiPriority w:val="0"/>
    <w:pPr>
      <w:numPr>
        <w:ilvl w:val="2"/>
        <w:numId w:val="13"/>
      </w:numPr>
      <w:jc w:val="both"/>
    </w:pPr>
    <w:rPr>
      <w:sz w:val="32"/>
    </w:rPr>
  </w:style>
  <w:style w:type="paragraph" w:customStyle="1" w:styleId="212">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213">
    <w:name w:val="样式 正文缩进正文（首行缩进两字）表正文正文非缩进特点标题4段1 + 首行缩进:  2 字符"/>
    <w:basedOn w:val="16"/>
    <w:qFormat/>
    <w:uiPriority w:val="0"/>
    <w:pPr>
      <w:ind w:firstLine="480" w:firstLineChars="200"/>
    </w:pPr>
  </w:style>
  <w:style w:type="paragraph" w:customStyle="1" w:styleId="214">
    <w:name w:val="正文1"/>
    <w:basedOn w:val="1"/>
    <w:qFormat/>
    <w:uiPriority w:val="0"/>
    <w:pPr>
      <w:spacing w:line="300" w:lineRule="auto"/>
      <w:ind w:firstLine="200" w:firstLineChars="200"/>
    </w:pPr>
    <w:rPr>
      <w:sz w:val="24"/>
    </w:rPr>
  </w:style>
  <w:style w:type="paragraph" w:customStyle="1" w:styleId="215">
    <w:name w:val="1.正文"/>
    <w:basedOn w:val="1"/>
    <w:qFormat/>
    <w:uiPriority w:val="0"/>
    <w:pPr>
      <w:spacing w:line="360" w:lineRule="auto"/>
      <w:ind w:left="540" w:leftChars="225" w:firstLine="540" w:firstLineChars="225"/>
    </w:pPr>
    <w:rPr>
      <w:sz w:val="24"/>
    </w:rPr>
  </w:style>
  <w:style w:type="paragraph" w:customStyle="1" w:styleId="216">
    <w:name w:val="内容标题"/>
    <w:basedOn w:val="18"/>
    <w:qFormat/>
    <w:uiPriority w:val="0"/>
    <w:rPr>
      <w:rFonts w:ascii="Tahoma" w:hAnsi="Tahoma"/>
      <w:sz w:val="24"/>
    </w:rPr>
  </w:style>
  <w:style w:type="paragraph" w:customStyle="1" w:styleId="217">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218">
    <w:name w:val="_Style 216"/>
    <w:basedOn w:val="3"/>
    <w:next w:val="1"/>
    <w:qFormat/>
    <w:uiPriority w:val="39"/>
    <w:pPr>
      <w:keepLines/>
      <w:widowControl/>
      <w:tabs>
        <w:tab w:val="clear" w:pos="3360"/>
      </w:tabs>
      <w:snapToGrid/>
      <w:spacing w:before="480" w:beforeLines="0" w:after="0" w:afterLines="0" w:line="276" w:lineRule="auto"/>
      <w:jc w:val="left"/>
      <w:outlineLvl w:val="9"/>
    </w:pPr>
    <w:rPr>
      <w:rFonts w:ascii="Cambria" w:hAnsi="Cambria" w:eastAsia="宋体" w:cs="Times New Roman"/>
      <w:b/>
      <w:bCs/>
      <w:color w:val="365F91"/>
      <w:kern w:val="0"/>
      <w:sz w:val="28"/>
      <w:szCs w:val="28"/>
    </w:rPr>
  </w:style>
  <w:style w:type="character" w:customStyle="1" w:styleId="219">
    <w:name w:val="_Style 217"/>
    <w:unhideWhenUsed/>
    <w:qFormat/>
    <w:uiPriority w:val="99"/>
    <w:rPr>
      <w:color w:val="605E5C"/>
      <w:shd w:val="clear" w:color="auto" w:fill="E1DFDD"/>
    </w:rPr>
  </w:style>
  <w:style w:type="character" w:customStyle="1" w:styleId="220">
    <w:name w:val="日期 字符"/>
    <w:qFormat/>
    <w:uiPriority w:val="0"/>
    <w:rPr>
      <w:kern w:val="2"/>
      <w:sz w:val="28"/>
    </w:rPr>
  </w:style>
  <w:style w:type="character" w:customStyle="1" w:styleId="221">
    <w:name w:val="标题 2 字符"/>
    <w:qFormat/>
    <w:uiPriority w:val="0"/>
    <w:rPr>
      <w:rFonts w:ascii="宋体" w:hAnsi="宋体"/>
      <w:kern w:val="2"/>
      <w:sz w:val="28"/>
    </w:rPr>
  </w:style>
  <w:style w:type="paragraph" w:customStyle="1" w:styleId="222">
    <w:name w:val="No Spacing"/>
    <w:basedOn w:val="1"/>
    <w:qFormat/>
    <w:uiPriority w:val="1"/>
    <w:pPr>
      <w:spacing w:after="0" w:line="400" w:lineRule="exact"/>
    </w:pPr>
    <w:rPr>
      <w:rFonts w:eastAsia="宋体"/>
      <w:sz w:val="24"/>
    </w:rPr>
  </w:style>
  <w:style w:type="paragraph" w:customStyle="1" w:styleId="223">
    <w:name w:val="WPSOffice手动目录 1"/>
    <w:qFormat/>
    <w:uiPriority w:val="0"/>
    <w:pPr>
      <w:ind w:leftChars="0"/>
    </w:pPr>
    <w:rPr>
      <w:rFonts w:ascii="Times New Roman" w:hAnsi="Times New Roman" w:eastAsia="宋体" w:cs="Times New Roman"/>
      <w:sz w:val="20"/>
      <w:szCs w:val="20"/>
    </w:rPr>
  </w:style>
  <w:style w:type="paragraph" w:customStyle="1" w:styleId="224">
    <w:name w:val="WPSOffice手动目录 2"/>
    <w:qFormat/>
    <w:uiPriority w:val="0"/>
    <w:pPr>
      <w:ind w:leftChars="200"/>
    </w:pPr>
    <w:rPr>
      <w:rFonts w:ascii="Times New Roman" w:hAnsi="Times New Roman" w:eastAsia="宋体" w:cs="Times New Roman"/>
      <w:sz w:val="20"/>
      <w:szCs w:val="20"/>
    </w:rPr>
  </w:style>
  <w:style w:type="paragraph" w:customStyle="1" w:styleId="225">
    <w:name w:val="2表格（表体）"/>
    <w:basedOn w:val="1"/>
    <w:qFormat/>
    <w:uiPriority w:val="99"/>
    <w:pPr>
      <w:spacing w:line="440" w:lineRule="exact"/>
      <w:ind w:firstLine="240" w:firstLineChars="100"/>
    </w:pPr>
  </w:style>
  <w:style w:type="character" w:customStyle="1" w:styleId="226">
    <w:name w:val="font11"/>
    <w:basedOn w:val="60"/>
    <w:qFormat/>
    <w:uiPriority w:val="0"/>
    <w:rPr>
      <w:rFonts w:hint="eastAsia" w:ascii="宋体" w:hAnsi="宋体" w:eastAsia="宋体" w:cs="宋体"/>
      <w:b/>
      <w:bCs/>
      <w:color w:val="000000"/>
      <w:sz w:val="20"/>
      <w:szCs w:val="20"/>
      <w:u w:val="none"/>
    </w:rPr>
  </w:style>
  <w:style w:type="character" w:customStyle="1" w:styleId="227">
    <w:name w:val="font51"/>
    <w:basedOn w:val="60"/>
    <w:qFormat/>
    <w:uiPriority w:val="0"/>
    <w:rPr>
      <w:rFonts w:hint="eastAsia" w:ascii="宋体" w:hAnsi="宋体" w:eastAsia="宋体" w:cs="宋体"/>
      <w:color w:val="000000"/>
      <w:sz w:val="20"/>
      <w:szCs w:val="20"/>
      <w:u w:val="none"/>
    </w:rPr>
  </w:style>
  <w:style w:type="paragraph" w:customStyle="1" w:styleId="228">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229">
    <w:name w:val="font131"/>
    <w:basedOn w:val="60"/>
    <w:qFormat/>
    <w:uiPriority w:val="0"/>
    <w:rPr>
      <w:rFonts w:hint="eastAsia" w:ascii="宋体" w:hAnsi="宋体" w:eastAsia="宋体" w:cs="宋体"/>
      <w:b/>
      <w:bCs/>
      <w:color w:val="000000"/>
      <w:sz w:val="36"/>
      <w:szCs w:val="36"/>
      <w:u w:val="single"/>
    </w:rPr>
  </w:style>
  <w:style w:type="character" w:customStyle="1" w:styleId="230">
    <w:name w:val="font41"/>
    <w:basedOn w:val="60"/>
    <w:qFormat/>
    <w:uiPriority w:val="0"/>
    <w:rPr>
      <w:rFonts w:hint="eastAsia" w:ascii="宋体" w:hAnsi="宋体" w:eastAsia="宋体" w:cs="宋体"/>
      <w:b/>
      <w:bCs/>
      <w:color w:val="000000"/>
      <w:sz w:val="36"/>
      <w:szCs w:val="36"/>
      <w:u w:val="none"/>
    </w:rPr>
  </w:style>
  <w:style w:type="character" w:customStyle="1" w:styleId="231">
    <w:name w:val="font101"/>
    <w:basedOn w:val="60"/>
    <w:qFormat/>
    <w:uiPriority w:val="0"/>
    <w:rPr>
      <w:rFonts w:hint="eastAsia" w:ascii="宋体" w:hAnsi="宋体" w:eastAsia="宋体" w:cs="宋体"/>
      <w:b/>
      <w:bCs/>
      <w:color w:val="000000"/>
      <w:sz w:val="36"/>
      <w:szCs w:val="36"/>
      <w:u w:val="single"/>
    </w:rPr>
  </w:style>
  <w:style w:type="character" w:customStyle="1" w:styleId="232">
    <w:name w:val="font111"/>
    <w:basedOn w:val="60"/>
    <w:qFormat/>
    <w:uiPriority w:val="0"/>
    <w:rPr>
      <w:rFonts w:hint="eastAsia" w:ascii="宋体" w:hAnsi="宋体" w:eastAsia="宋体" w:cs="宋体"/>
      <w:b/>
      <w:bCs/>
      <w:color w:val="000000"/>
      <w:sz w:val="36"/>
      <w:szCs w:val="36"/>
      <w:u w:val="single"/>
    </w:rPr>
  </w:style>
  <w:style w:type="character" w:customStyle="1" w:styleId="233">
    <w:name w:val="font31"/>
    <w:basedOn w:val="60"/>
    <w:qFormat/>
    <w:uiPriority w:val="0"/>
    <w:rPr>
      <w:rFonts w:hint="eastAsia" w:ascii="宋体" w:hAnsi="宋体" w:eastAsia="宋体" w:cs="宋体"/>
      <w:b/>
      <w:bCs/>
      <w:color w:val="000000"/>
      <w:sz w:val="36"/>
      <w:szCs w:val="36"/>
      <w:u w:val="none"/>
    </w:rPr>
  </w:style>
  <w:style w:type="character" w:customStyle="1" w:styleId="234">
    <w:name w:val="font91"/>
    <w:basedOn w:val="60"/>
    <w:qFormat/>
    <w:uiPriority w:val="0"/>
    <w:rPr>
      <w:rFonts w:hint="eastAsia" w:ascii="宋体" w:hAnsi="宋体" w:eastAsia="宋体" w:cs="宋体"/>
      <w:b/>
      <w:bCs/>
      <w:color w:val="000000"/>
      <w:sz w:val="36"/>
      <w:szCs w:val="36"/>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15219</Words>
  <Characters>21419</Characters>
  <Lines>213</Lines>
  <Paragraphs>60</Paragraphs>
  <TotalTime>5</TotalTime>
  <ScaleCrop>false</ScaleCrop>
  <LinksUpToDate>false</LinksUpToDate>
  <CharactersWithSpaces>23310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2022-06-17T04:07:00Z</dcterms:created>
  <dc:creator>Administrator</dc:creator>
  <cp:lastModifiedBy>唐银瑶</cp:lastModifiedBy>
  <cp:lastPrinted>2022-11-16T09:29:00Z</cp:lastPrinted>
  <dcterms:modified xsi:type="dcterms:W3CDTF">2023-06-20T01:49:52Z</dcterms:modified>
  <dc:title>货物</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650DD7E9649A4A1C99D71AF82D6EEC88</vt:lpwstr>
  </property>
</Properties>
</file>