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1606" w:hanging="1606" w:hangingChars="500"/>
        <w:jc w:val="both"/>
        <w:textAlignment w:val="auto"/>
        <w:rPr>
          <w:rFonts w:hint="eastAsia" w:ascii="宋体" w:hAnsi="宋体" w:eastAsia="宋体" w:cs="宋体"/>
          <w:b/>
          <w:bCs/>
          <w:color w:val="auto"/>
          <w:sz w:val="32"/>
          <w:szCs w:val="32"/>
          <w:highlight w:val="none"/>
          <w:lang w:val="en-US" w:eastAsia="zh-CN"/>
        </w:rPr>
      </w:pPr>
      <w:r>
        <w:rPr>
          <w:rFonts w:hint="eastAsia"/>
          <w:b/>
          <w:bCs/>
          <w:color w:val="auto"/>
          <w:sz w:val="32"/>
          <w:szCs w:val="32"/>
          <w:highlight w:val="none"/>
          <w:lang w:eastAsia="zh-CN"/>
        </w:rPr>
        <w:t>项目名称：</w:t>
      </w:r>
      <w:r>
        <w:rPr>
          <w:rFonts w:hint="eastAsia" w:ascii="宋体" w:hAnsi="宋体" w:eastAsia="宋体" w:cs="宋体"/>
          <w:b/>
          <w:bCs/>
          <w:color w:val="auto"/>
          <w:sz w:val="32"/>
          <w:szCs w:val="32"/>
          <w:highlight w:val="none"/>
          <w:lang w:val="en-US" w:eastAsia="zh-CN"/>
        </w:rPr>
        <w:t>南川区社区养老服务设施建设项目（一期）信息智能化系统工程专业分包</w:t>
      </w:r>
    </w:p>
    <w:p>
      <w:pPr>
        <w:spacing w:line="360" w:lineRule="auto"/>
        <w:jc w:val="left"/>
        <w:rPr>
          <w:rFonts w:hint="eastAsia" w:ascii="宋体" w:hAnsi="宋体" w:eastAsia="宋体" w:cs="宋体"/>
          <w:color w:val="auto"/>
          <w:highlight w:val="none"/>
        </w:rPr>
      </w:pPr>
    </w:p>
    <w:p>
      <w:pPr>
        <w:spacing w:line="480" w:lineRule="auto"/>
        <w:rPr>
          <w:rFonts w:hint="eastAsia"/>
          <w:color w:val="auto"/>
          <w:highlight w:val="none"/>
        </w:rPr>
      </w:pPr>
    </w:p>
    <w:p>
      <w:pPr>
        <w:spacing w:line="480" w:lineRule="auto"/>
        <w:rPr>
          <w:rFonts w:hint="eastAsia"/>
          <w:color w:val="auto"/>
          <w:highlight w:val="none"/>
        </w:rPr>
      </w:pPr>
    </w:p>
    <w:p>
      <w:pPr>
        <w:spacing w:line="480" w:lineRule="auto"/>
        <w:rPr>
          <w:rFonts w:hint="eastAsia"/>
          <w:color w:val="auto"/>
          <w:highlight w:val="none"/>
        </w:rPr>
      </w:pPr>
    </w:p>
    <w:p>
      <w:pPr>
        <w:spacing w:line="480" w:lineRule="auto"/>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spacing w:line="360" w:lineRule="auto"/>
        <w:jc w:val="center"/>
        <w:rPr>
          <w:rFonts w:hint="eastAsia" w:ascii="宋体" w:hAnsi="宋体" w:eastAsia="宋体" w:cs="宋体"/>
          <w:b/>
          <w:bCs/>
          <w:color w:val="auto"/>
          <w:sz w:val="112"/>
          <w:szCs w:val="112"/>
          <w:highlight w:val="none"/>
          <w:lang w:eastAsia="zh-CN"/>
        </w:rPr>
      </w:pPr>
      <w:r>
        <w:rPr>
          <w:rFonts w:hint="eastAsia" w:ascii="宋体" w:hAnsi="宋体" w:eastAsia="宋体" w:cs="宋体"/>
          <w:b/>
          <w:bCs/>
          <w:color w:val="auto"/>
          <w:sz w:val="112"/>
          <w:szCs w:val="112"/>
          <w:highlight w:val="none"/>
          <w:lang w:val="en-US" w:eastAsia="zh-CN"/>
        </w:rPr>
        <w:t xml:space="preserve">招 标 </w:t>
      </w:r>
      <w:r>
        <w:rPr>
          <w:rFonts w:hint="eastAsia" w:ascii="宋体" w:hAnsi="宋体" w:eastAsia="宋体" w:cs="宋体"/>
          <w:b/>
          <w:bCs/>
          <w:color w:val="auto"/>
          <w:sz w:val="112"/>
          <w:szCs w:val="112"/>
          <w:highlight w:val="none"/>
          <w:lang w:eastAsia="zh-CN"/>
        </w:rPr>
        <w:t>文</w:t>
      </w:r>
      <w:r>
        <w:rPr>
          <w:rFonts w:hint="eastAsia" w:ascii="宋体" w:hAnsi="宋体" w:eastAsia="宋体" w:cs="宋体"/>
          <w:b/>
          <w:bCs/>
          <w:color w:val="auto"/>
          <w:sz w:val="112"/>
          <w:szCs w:val="112"/>
          <w:highlight w:val="none"/>
          <w:lang w:val="en-US" w:eastAsia="zh-CN"/>
        </w:rPr>
        <w:t xml:space="preserve"> </w:t>
      </w:r>
      <w:r>
        <w:rPr>
          <w:rFonts w:hint="eastAsia" w:ascii="宋体" w:hAnsi="宋体" w:eastAsia="宋体" w:cs="宋体"/>
          <w:b/>
          <w:bCs/>
          <w:color w:val="auto"/>
          <w:sz w:val="112"/>
          <w:szCs w:val="112"/>
          <w:highlight w:val="none"/>
          <w:lang w:eastAsia="zh-CN"/>
        </w:rPr>
        <w:t>件</w:t>
      </w:r>
    </w:p>
    <w:p>
      <w:pPr>
        <w:spacing w:line="480" w:lineRule="auto"/>
        <w:rPr>
          <w:rFonts w:hint="eastAsia"/>
          <w:color w:val="auto"/>
          <w:highlight w:val="none"/>
        </w:rPr>
      </w:pPr>
    </w:p>
    <w:p>
      <w:pPr>
        <w:spacing w:line="480" w:lineRule="auto"/>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rPr>
          <w:rFonts w:hint="eastAsia"/>
          <w:color w:val="auto"/>
          <w:highlight w:val="none"/>
        </w:rPr>
      </w:pPr>
    </w:p>
    <w:p>
      <w:pPr>
        <w:rPr>
          <w:rFonts w:hint="eastAsia"/>
          <w:color w:val="auto"/>
          <w:highlight w:val="none"/>
        </w:rPr>
      </w:pPr>
    </w:p>
    <w:p>
      <w:pPr>
        <w:widowControl/>
        <w:snapToGrid w:val="0"/>
        <w:spacing w:line="360" w:lineRule="auto"/>
        <w:textAlignment w:val="baseline"/>
        <w:rPr>
          <w:rFonts w:hint="eastAsia" w:ascii="宋体" w:hAnsi="宋体" w:eastAsia="宋体" w:cs="宋体"/>
          <w:color w:val="auto"/>
          <w:sz w:val="36"/>
          <w:szCs w:val="30"/>
          <w:highlight w:val="none"/>
        </w:rPr>
      </w:pPr>
    </w:p>
    <w:p>
      <w:pPr>
        <w:keepNext w:val="0"/>
        <w:keepLines w:val="0"/>
        <w:pageBreakBefore w:val="0"/>
        <w:widowControl/>
        <w:kinsoku/>
        <w:wordWrap/>
        <w:overflowPunct/>
        <w:topLinePunct w:val="0"/>
        <w:autoSpaceDE/>
        <w:autoSpaceDN/>
        <w:bidi w:val="0"/>
        <w:adjustRightInd/>
        <w:snapToGrid w:val="0"/>
        <w:spacing w:before="157" w:beforeLines="50" w:after="157" w:afterLines="50" w:line="480" w:lineRule="auto"/>
        <w:jc w:val="both"/>
        <w:textAlignment w:val="baseline"/>
        <w:rPr>
          <w:rFonts w:hint="default"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eastAsia="zh-CN"/>
        </w:rPr>
        <w:t>招</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标</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人</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eastAsia="zh-CN"/>
        </w:rPr>
        <w:t>重庆市南鸿建筑工程有限责任公司</w:t>
      </w:r>
      <w:r>
        <w:rPr>
          <w:rFonts w:hint="eastAsia" w:ascii="宋体" w:hAnsi="宋体" w:eastAsia="宋体" w:cs="宋体"/>
          <w:b/>
          <w:bCs/>
          <w:color w:val="auto"/>
          <w:sz w:val="32"/>
          <w:szCs w:val="32"/>
          <w:highlight w:val="none"/>
          <w:lang w:val="en-US" w:eastAsia="zh-CN"/>
        </w:rPr>
        <w:t>(盖章)</w:t>
      </w:r>
    </w:p>
    <w:p>
      <w:pPr>
        <w:keepNext w:val="0"/>
        <w:keepLines w:val="0"/>
        <w:pageBreakBefore w:val="0"/>
        <w:kinsoku/>
        <w:wordWrap/>
        <w:overflowPunct/>
        <w:topLinePunct w:val="0"/>
        <w:autoSpaceDE/>
        <w:autoSpaceDN/>
        <w:bidi w:val="0"/>
        <w:adjustRightInd/>
        <w:spacing w:before="157" w:beforeLines="50" w:after="157" w:afterLines="50" w:line="480" w:lineRule="auto"/>
        <w:jc w:val="both"/>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val="en-US" w:eastAsia="zh-CN"/>
        </w:rPr>
        <w:t>招标</w:t>
      </w:r>
      <w:r>
        <w:rPr>
          <w:rFonts w:hint="eastAsia" w:ascii="宋体" w:hAnsi="宋体" w:eastAsia="宋体" w:cs="宋体"/>
          <w:b/>
          <w:bCs/>
          <w:color w:val="auto"/>
          <w:sz w:val="32"/>
          <w:szCs w:val="32"/>
          <w:highlight w:val="none"/>
        </w:rPr>
        <w:t>代理机构：</w:t>
      </w:r>
      <w:r>
        <w:rPr>
          <w:rFonts w:hint="eastAsia" w:ascii="宋体" w:hAnsi="宋体" w:eastAsia="宋体" w:cs="宋体"/>
          <w:b/>
          <w:bCs/>
          <w:color w:val="auto"/>
          <w:sz w:val="32"/>
          <w:szCs w:val="32"/>
          <w:highlight w:val="none"/>
          <w:lang w:eastAsia="zh-CN"/>
        </w:rPr>
        <w:t>重庆方郡建设工程咨询有限公司（盖章）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32"/>
          <w:szCs w:val="32"/>
          <w:highlight w:val="none"/>
        </w:rPr>
      </w:pPr>
    </w:p>
    <w:p>
      <w:pPr>
        <w:pStyle w:val="10"/>
        <w:jc w:val="center"/>
        <w:rPr>
          <w:rFonts w:hint="eastAsia" w:ascii="宋体" w:hAnsi="宋体" w:eastAsia="宋体" w:cs="宋体"/>
          <w:b/>
          <w:bCs/>
          <w:color w:val="auto"/>
          <w:sz w:val="32"/>
          <w:szCs w:val="32"/>
          <w:highlight w:val="none"/>
          <w:lang w:val="en-US" w:eastAsia="zh-CN"/>
        </w:rPr>
        <w:sectPr>
          <w:footerReference r:id="rId3" w:type="default"/>
          <w:pgSz w:w="11906" w:h="16838"/>
          <w:pgMar w:top="1100" w:right="1418" w:bottom="1247" w:left="1418" w:header="624" w:footer="748"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
          <w:bCs/>
          <w:color w:val="auto"/>
          <w:sz w:val="32"/>
          <w:szCs w:val="32"/>
          <w:highlight w:val="none"/>
          <w:lang w:val="en-US" w:eastAsia="zh-CN"/>
        </w:rPr>
        <w:t>二〇二</w:t>
      </w:r>
      <w:r>
        <w:rPr>
          <w:rFonts w:hint="eastAsia" w:hAnsi="宋体" w:eastAsia="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lang w:val="en-US" w:eastAsia="zh-CN"/>
        </w:rPr>
        <w:t>年</w:t>
      </w:r>
      <w:r>
        <w:rPr>
          <w:rFonts w:hint="eastAsia" w:hAnsi="宋体" w:eastAsia="宋体" w:cs="宋体"/>
          <w:b/>
          <w:bCs/>
          <w:color w:val="auto"/>
          <w:sz w:val="32"/>
          <w:szCs w:val="32"/>
          <w:highlight w:val="none"/>
          <w:lang w:val="en-US" w:eastAsia="zh-CN"/>
        </w:rPr>
        <w:t>六</w:t>
      </w:r>
      <w:r>
        <w:rPr>
          <w:rFonts w:hint="eastAsia" w:ascii="宋体" w:hAnsi="宋体" w:eastAsia="宋体" w:cs="宋体"/>
          <w:b/>
          <w:bCs/>
          <w:color w:val="auto"/>
          <w:sz w:val="32"/>
          <w:szCs w:val="32"/>
          <w:highlight w:val="none"/>
          <w:lang w:val="en-US" w:eastAsia="zh-CN"/>
        </w:rPr>
        <w:t>月</w:t>
      </w:r>
    </w:p>
    <w:p>
      <w:pPr>
        <w:pStyle w:val="10"/>
        <w:rPr>
          <w:rFonts w:hint="eastAsia" w:ascii="宋体" w:hAnsi="宋体" w:eastAsia="宋体" w:cs="宋体"/>
          <w:b/>
          <w:bCs/>
          <w:color w:val="auto"/>
          <w:sz w:val="32"/>
          <w:szCs w:val="32"/>
          <w:highlight w:val="none"/>
          <w:lang w:val="en-US" w:eastAsia="zh-CN"/>
        </w:rPr>
      </w:pPr>
    </w:p>
    <w:p>
      <w:pPr>
        <w:jc w:val="center"/>
        <w:rPr>
          <w:rFonts w:hint="eastAsia" w:ascii="宋体" w:hAnsi="宋体" w:eastAsia="宋体" w:cs="宋体"/>
          <w:b/>
          <w:color w:val="auto"/>
          <w:sz w:val="44"/>
          <w:szCs w:val="44"/>
          <w:highlight w:val="none"/>
        </w:rPr>
      </w:pPr>
    </w:p>
    <w:p>
      <w:pPr>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p>
      <w:pPr>
        <w:rPr>
          <w:rFonts w:hint="eastAsia" w:ascii="宋体" w:hAnsi="宋体" w:eastAsia="宋体" w:cs="宋体"/>
          <w:color w:val="auto"/>
          <w:highlight w:val="none"/>
        </w:rPr>
      </w:pPr>
    </w:p>
    <w:sdt>
      <w:sdtPr>
        <w:rPr>
          <w:rFonts w:ascii="宋体" w:hAnsi="宋体" w:eastAsia="宋体" w:cstheme="minorBidi"/>
          <w:color w:val="auto"/>
          <w:kern w:val="2"/>
          <w:sz w:val="18"/>
          <w:szCs w:val="21"/>
          <w:highlight w:val="none"/>
          <w:lang w:val="en-US" w:eastAsia="zh-CN" w:bidi="ar-SA"/>
        </w:rPr>
        <w:id w:val="147477678"/>
        <w15:color w:val="DBDBDB"/>
      </w:sdtPr>
      <w:sdtEndPr>
        <w:rPr>
          <w:rFonts w:hint="eastAsia" w:ascii="宋体" w:hAnsi="宋体" w:eastAsia="宋体" w:cs="宋体"/>
          <w:color w:val="auto"/>
          <w:kern w:val="2"/>
          <w:sz w:val="21"/>
          <w:szCs w:val="28"/>
          <w:highlight w:val="none"/>
          <w:lang w:val="en-US" w:eastAsia="zh-CN" w:bidi="ar-SA"/>
        </w:rPr>
      </w:sdtEndPr>
      <w:sdtContent>
        <w:p>
          <w:pPr>
            <w:spacing w:before="0" w:beforeLines="0" w:after="0" w:afterLines="0" w:line="600" w:lineRule="auto"/>
            <w:ind w:left="0" w:leftChars="0" w:right="0" w:rightChars="0" w:firstLine="0" w:firstLineChars="0"/>
            <w:jc w:val="center"/>
            <w:rPr>
              <w:rFonts w:hint="eastAsia" w:eastAsia="宋体"/>
              <w:b/>
              <w:bCs/>
              <w:color w:val="auto"/>
              <w:sz w:val="22"/>
              <w:szCs w:val="22"/>
              <w:highlight w:val="none"/>
              <w:lang w:eastAsia="zh-CN"/>
            </w:rPr>
          </w:pPr>
          <w:r>
            <w:rPr>
              <w:rFonts w:hint="eastAsia" w:ascii="宋体" w:hAnsi="宋体" w:eastAsia="宋体"/>
              <w:b/>
              <w:bCs/>
              <w:color w:val="auto"/>
              <w:sz w:val="22"/>
              <w:szCs w:val="22"/>
              <w:highlight w:val="none"/>
              <w:lang w:val="en-US" w:eastAsia="zh-CN"/>
            </w:rPr>
            <w:t xml:space="preserve"> </w:t>
          </w:r>
        </w:p>
        <w:p>
          <w:pPr>
            <w:pStyle w:val="14"/>
            <w:tabs>
              <w:tab w:val="right" w:leader="dot" w:pos="9070"/>
            </w:tabs>
            <w:spacing w:line="360" w:lineRule="auto"/>
            <w:rPr>
              <w:rFonts w:hint="eastAsia" w:ascii="宋体" w:hAnsi="宋体" w:eastAsia="宋体" w:cs="宋体"/>
              <w:color w:val="auto"/>
              <w:sz w:val="32"/>
              <w:szCs w:val="32"/>
              <w:highlight w:val="none"/>
            </w:rPr>
          </w:pP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TOC \o "1-1" \h \u </w:instrText>
          </w:r>
          <w:r>
            <w:rPr>
              <w:rFonts w:hint="eastAsia" w:ascii="宋体" w:hAnsi="宋体" w:eastAsia="宋体" w:cs="宋体"/>
              <w:b/>
              <w:bCs/>
              <w:color w:val="auto"/>
              <w:sz w:val="22"/>
              <w:szCs w:val="22"/>
              <w:highlight w:val="none"/>
            </w:rPr>
            <w:fldChar w:fldCharType="separate"/>
          </w:r>
          <w:r>
            <w:rPr>
              <w:rFonts w:hint="eastAsia" w:ascii="宋体" w:hAnsi="宋体" w:eastAsia="宋体" w:cs="宋体"/>
              <w:bCs/>
              <w:color w:val="auto"/>
              <w:sz w:val="32"/>
              <w:szCs w:val="40"/>
              <w:highlight w:val="none"/>
            </w:rPr>
            <w:fldChar w:fldCharType="begin"/>
          </w:r>
          <w:r>
            <w:rPr>
              <w:rFonts w:hint="eastAsia" w:ascii="宋体" w:hAnsi="宋体" w:eastAsia="宋体" w:cs="宋体"/>
              <w:bCs/>
              <w:color w:val="auto"/>
              <w:sz w:val="32"/>
              <w:szCs w:val="40"/>
              <w:highlight w:val="none"/>
            </w:rPr>
            <w:instrText xml:space="preserve"> HYPERLINK \l _Toc5047 </w:instrText>
          </w:r>
          <w:r>
            <w:rPr>
              <w:rFonts w:hint="eastAsia" w:ascii="宋体" w:hAnsi="宋体" w:eastAsia="宋体" w:cs="宋体"/>
              <w:bCs/>
              <w:color w:val="auto"/>
              <w:sz w:val="32"/>
              <w:szCs w:val="40"/>
              <w:highlight w:val="none"/>
            </w:rPr>
            <w:fldChar w:fldCharType="separate"/>
          </w:r>
          <w:r>
            <w:rPr>
              <w:rFonts w:hint="eastAsia" w:ascii="宋体" w:hAnsi="宋体" w:eastAsia="宋体" w:cs="宋体"/>
              <w:bCs w:val="0"/>
              <w:snapToGrid w:val="0"/>
              <w:color w:val="auto"/>
              <w:kern w:val="0"/>
              <w:sz w:val="32"/>
              <w:szCs w:val="56"/>
              <w:highlight w:val="none"/>
              <w:lang w:eastAsia="zh-CN"/>
            </w:rPr>
            <w:t xml:space="preserve">第一章 </w:t>
          </w:r>
          <w:r>
            <w:rPr>
              <w:rFonts w:hint="eastAsia" w:ascii="宋体" w:hAnsi="宋体" w:eastAsia="宋体" w:cs="宋体"/>
              <w:bCs w:val="0"/>
              <w:snapToGrid w:val="0"/>
              <w:color w:val="auto"/>
              <w:kern w:val="0"/>
              <w:sz w:val="32"/>
              <w:szCs w:val="56"/>
              <w:highlight w:val="none"/>
              <w:lang w:val="en-US" w:eastAsia="zh-CN"/>
            </w:rPr>
            <w:t xml:space="preserve"> </w:t>
          </w:r>
          <w:r>
            <w:rPr>
              <w:rFonts w:hint="eastAsia" w:ascii="宋体" w:hAnsi="宋体" w:eastAsia="宋体" w:cs="宋体"/>
              <w:bCs w:val="0"/>
              <w:snapToGrid w:val="0"/>
              <w:color w:val="auto"/>
              <w:kern w:val="0"/>
              <w:sz w:val="32"/>
              <w:szCs w:val="56"/>
              <w:highlight w:val="none"/>
              <w:lang w:eastAsia="zh-CN"/>
            </w:rPr>
            <w:t>投标邀请书</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_Toc5047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rPr>
            <w:fldChar w:fldCharType="end"/>
          </w:r>
          <w:r>
            <w:rPr>
              <w:rFonts w:hint="eastAsia" w:ascii="宋体" w:hAnsi="宋体" w:eastAsia="宋体" w:cs="宋体"/>
              <w:bCs/>
              <w:color w:val="auto"/>
              <w:sz w:val="32"/>
              <w:szCs w:val="40"/>
              <w:highlight w:val="none"/>
            </w:rPr>
            <w:fldChar w:fldCharType="end"/>
          </w:r>
        </w:p>
        <w:p>
          <w:pPr>
            <w:pStyle w:val="14"/>
            <w:tabs>
              <w:tab w:val="right" w:leader="dot" w:pos="9070"/>
            </w:tabs>
            <w:spacing w:line="360" w:lineRule="auto"/>
            <w:rPr>
              <w:rFonts w:hint="eastAsia" w:ascii="宋体" w:hAnsi="宋体" w:eastAsia="宋体" w:cs="宋体"/>
              <w:color w:val="auto"/>
              <w:sz w:val="32"/>
              <w:szCs w:val="32"/>
              <w:highlight w:val="none"/>
            </w:rPr>
          </w:pPr>
          <w:r>
            <w:rPr>
              <w:rFonts w:hint="eastAsia" w:ascii="宋体" w:hAnsi="宋体" w:eastAsia="宋体" w:cs="宋体"/>
              <w:bCs/>
              <w:color w:val="auto"/>
              <w:sz w:val="32"/>
              <w:szCs w:val="40"/>
              <w:highlight w:val="none"/>
            </w:rPr>
            <w:fldChar w:fldCharType="begin"/>
          </w:r>
          <w:r>
            <w:rPr>
              <w:rFonts w:hint="eastAsia" w:ascii="宋体" w:hAnsi="宋体" w:eastAsia="宋体" w:cs="宋体"/>
              <w:bCs/>
              <w:color w:val="auto"/>
              <w:sz w:val="32"/>
              <w:szCs w:val="40"/>
              <w:highlight w:val="none"/>
            </w:rPr>
            <w:instrText xml:space="preserve"> HYPERLINK \l _Toc2883 </w:instrText>
          </w:r>
          <w:r>
            <w:rPr>
              <w:rFonts w:hint="eastAsia" w:ascii="宋体" w:hAnsi="宋体" w:eastAsia="宋体" w:cs="宋体"/>
              <w:bCs/>
              <w:color w:val="auto"/>
              <w:sz w:val="32"/>
              <w:szCs w:val="40"/>
              <w:highlight w:val="none"/>
            </w:rPr>
            <w:fldChar w:fldCharType="separate"/>
          </w:r>
          <w:r>
            <w:rPr>
              <w:rFonts w:hint="eastAsia" w:ascii="宋体" w:hAnsi="宋体" w:eastAsia="宋体" w:cs="宋体"/>
              <w:color w:val="auto"/>
              <w:sz w:val="32"/>
              <w:szCs w:val="56"/>
              <w:highlight w:val="none"/>
            </w:rPr>
            <w:t>第</w:t>
          </w:r>
          <w:r>
            <w:rPr>
              <w:rFonts w:hint="eastAsia" w:ascii="宋体" w:hAnsi="宋体" w:eastAsia="宋体" w:cs="宋体"/>
              <w:color w:val="auto"/>
              <w:sz w:val="32"/>
              <w:szCs w:val="56"/>
              <w:highlight w:val="none"/>
              <w:lang w:eastAsia="zh-CN"/>
            </w:rPr>
            <w:t>二章</w:t>
          </w:r>
          <w:r>
            <w:rPr>
              <w:rFonts w:hint="eastAsia" w:ascii="宋体" w:hAnsi="宋体" w:eastAsia="宋体" w:cs="宋体"/>
              <w:color w:val="auto"/>
              <w:sz w:val="32"/>
              <w:szCs w:val="56"/>
              <w:highlight w:val="none"/>
            </w:rPr>
            <w:t xml:space="preserve">  投标人须知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_Toc2883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w:t>
          </w:r>
          <w:r>
            <w:rPr>
              <w:rFonts w:hint="eastAsia" w:ascii="宋体" w:hAnsi="宋体" w:eastAsia="宋体" w:cs="宋体"/>
              <w:color w:val="auto"/>
              <w:sz w:val="32"/>
              <w:szCs w:val="32"/>
              <w:highlight w:val="none"/>
            </w:rPr>
            <w:fldChar w:fldCharType="end"/>
          </w:r>
          <w:r>
            <w:rPr>
              <w:rFonts w:hint="eastAsia" w:ascii="宋体" w:hAnsi="宋体" w:eastAsia="宋体" w:cs="宋体"/>
              <w:bCs/>
              <w:color w:val="auto"/>
              <w:sz w:val="32"/>
              <w:szCs w:val="40"/>
              <w:highlight w:val="none"/>
            </w:rPr>
            <w:fldChar w:fldCharType="end"/>
          </w:r>
        </w:p>
        <w:p>
          <w:pPr>
            <w:pStyle w:val="14"/>
            <w:tabs>
              <w:tab w:val="right" w:leader="dot" w:pos="9070"/>
            </w:tabs>
            <w:spacing w:line="360" w:lineRule="auto"/>
            <w:rPr>
              <w:rFonts w:hint="eastAsia" w:ascii="宋体" w:hAnsi="宋体" w:eastAsia="宋体" w:cs="宋体"/>
              <w:color w:val="auto"/>
              <w:sz w:val="32"/>
              <w:szCs w:val="32"/>
              <w:highlight w:val="none"/>
            </w:rPr>
          </w:pPr>
          <w:r>
            <w:rPr>
              <w:rFonts w:hint="eastAsia" w:ascii="宋体" w:hAnsi="宋体" w:eastAsia="宋体" w:cs="宋体"/>
              <w:bCs/>
              <w:color w:val="auto"/>
              <w:sz w:val="32"/>
              <w:szCs w:val="40"/>
              <w:highlight w:val="none"/>
            </w:rPr>
            <w:fldChar w:fldCharType="begin"/>
          </w:r>
          <w:r>
            <w:rPr>
              <w:rFonts w:hint="eastAsia" w:ascii="宋体" w:hAnsi="宋体" w:eastAsia="宋体" w:cs="宋体"/>
              <w:bCs/>
              <w:color w:val="auto"/>
              <w:sz w:val="32"/>
              <w:szCs w:val="40"/>
              <w:highlight w:val="none"/>
            </w:rPr>
            <w:instrText xml:space="preserve"> HYPERLINK \l _Toc16879 </w:instrText>
          </w:r>
          <w:r>
            <w:rPr>
              <w:rFonts w:hint="eastAsia" w:ascii="宋体" w:hAnsi="宋体" w:eastAsia="宋体" w:cs="宋体"/>
              <w:bCs/>
              <w:color w:val="auto"/>
              <w:sz w:val="32"/>
              <w:szCs w:val="40"/>
              <w:highlight w:val="none"/>
            </w:rPr>
            <w:fldChar w:fldCharType="separate"/>
          </w:r>
          <w:r>
            <w:rPr>
              <w:rFonts w:hint="eastAsia" w:ascii="宋体" w:hAnsi="宋体" w:eastAsia="宋体" w:cs="宋体"/>
              <w:bCs/>
              <w:color w:val="auto"/>
              <w:kern w:val="0"/>
              <w:sz w:val="32"/>
              <w:szCs w:val="56"/>
              <w:highlight w:val="none"/>
            </w:rPr>
            <w:t>第三章  评标办法（综合评估法）</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_Toc16879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17</w:t>
          </w:r>
          <w:r>
            <w:rPr>
              <w:rFonts w:hint="eastAsia" w:ascii="宋体" w:hAnsi="宋体" w:eastAsia="宋体" w:cs="宋体"/>
              <w:color w:val="auto"/>
              <w:sz w:val="32"/>
              <w:szCs w:val="32"/>
              <w:highlight w:val="none"/>
            </w:rPr>
            <w:fldChar w:fldCharType="end"/>
          </w:r>
          <w:r>
            <w:rPr>
              <w:rFonts w:hint="eastAsia" w:ascii="宋体" w:hAnsi="宋体" w:eastAsia="宋体" w:cs="宋体"/>
              <w:bCs/>
              <w:color w:val="auto"/>
              <w:sz w:val="32"/>
              <w:szCs w:val="40"/>
              <w:highlight w:val="none"/>
            </w:rPr>
            <w:fldChar w:fldCharType="end"/>
          </w:r>
        </w:p>
        <w:p>
          <w:pPr>
            <w:pStyle w:val="14"/>
            <w:tabs>
              <w:tab w:val="right" w:leader="dot" w:pos="9070"/>
            </w:tabs>
            <w:spacing w:line="360" w:lineRule="auto"/>
            <w:rPr>
              <w:rFonts w:hint="eastAsia" w:ascii="宋体" w:hAnsi="宋体" w:eastAsia="宋体" w:cs="宋体"/>
              <w:color w:val="auto"/>
              <w:sz w:val="32"/>
              <w:szCs w:val="32"/>
              <w:highlight w:val="none"/>
            </w:rPr>
          </w:pPr>
          <w:r>
            <w:rPr>
              <w:rFonts w:hint="eastAsia" w:ascii="宋体" w:hAnsi="宋体" w:eastAsia="宋体" w:cs="宋体"/>
              <w:bCs/>
              <w:color w:val="auto"/>
              <w:sz w:val="32"/>
              <w:szCs w:val="40"/>
              <w:highlight w:val="none"/>
            </w:rPr>
            <w:fldChar w:fldCharType="begin"/>
          </w:r>
          <w:r>
            <w:rPr>
              <w:rFonts w:hint="eastAsia" w:ascii="宋体" w:hAnsi="宋体" w:eastAsia="宋体" w:cs="宋体"/>
              <w:bCs/>
              <w:color w:val="auto"/>
              <w:sz w:val="32"/>
              <w:szCs w:val="40"/>
              <w:highlight w:val="none"/>
            </w:rPr>
            <w:instrText xml:space="preserve"> HYPERLINK \l _Toc4204 </w:instrText>
          </w:r>
          <w:r>
            <w:rPr>
              <w:rFonts w:hint="eastAsia" w:ascii="宋体" w:hAnsi="宋体" w:eastAsia="宋体" w:cs="宋体"/>
              <w:bCs/>
              <w:color w:val="auto"/>
              <w:sz w:val="32"/>
              <w:szCs w:val="40"/>
              <w:highlight w:val="none"/>
            </w:rPr>
            <w:fldChar w:fldCharType="separate"/>
          </w:r>
          <w:r>
            <w:rPr>
              <w:rFonts w:hint="eastAsia" w:ascii="宋体" w:hAnsi="宋体" w:eastAsia="宋体" w:cs="宋体"/>
              <w:bCs/>
              <w:color w:val="auto"/>
              <w:kern w:val="0"/>
              <w:sz w:val="32"/>
              <w:szCs w:val="56"/>
              <w:highlight w:val="none"/>
            </w:rPr>
            <w:t>第四章  合同条款及格式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_Toc4204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23</w:t>
          </w:r>
          <w:r>
            <w:rPr>
              <w:rFonts w:hint="eastAsia" w:ascii="宋体" w:hAnsi="宋体" w:eastAsia="宋体" w:cs="宋体"/>
              <w:color w:val="auto"/>
              <w:sz w:val="32"/>
              <w:szCs w:val="32"/>
              <w:highlight w:val="none"/>
            </w:rPr>
            <w:fldChar w:fldCharType="end"/>
          </w:r>
          <w:r>
            <w:rPr>
              <w:rFonts w:hint="eastAsia" w:ascii="宋体" w:hAnsi="宋体" w:eastAsia="宋体" w:cs="宋体"/>
              <w:bCs/>
              <w:color w:val="auto"/>
              <w:sz w:val="32"/>
              <w:szCs w:val="40"/>
              <w:highlight w:val="none"/>
            </w:rPr>
            <w:fldChar w:fldCharType="end"/>
          </w:r>
        </w:p>
        <w:p>
          <w:pPr>
            <w:pStyle w:val="14"/>
            <w:tabs>
              <w:tab w:val="right" w:leader="dot" w:pos="9070"/>
            </w:tabs>
            <w:spacing w:line="360" w:lineRule="auto"/>
            <w:rPr>
              <w:rFonts w:hint="eastAsia" w:ascii="宋体" w:hAnsi="宋体" w:eastAsia="宋体" w:cs="宋体"/>
              <w:color w:val="auto"/>
              <w:sz w:val="32"/>
              <w:szCs w:val="32"/>
              <w:highlight w:val="none"/>
            </w:rPr>
          </w:pPr>
          <w:r>
            <w:rPr>
              <w:rFonts w:hint="eastAsia" w:ascii="宋体" w:hAnsi="宋体" w:eastAsia="宋体" w:cs="宋体"/>
              <w:bCs/>
              <w:color w:val="auto"/>
              <w:sz w:val="32"/>
              <w:szCs w:val="40"/>
              <w:highlight w:val="none"/>
            </w:rPr>
            <w:fldChar w:fldCharType="begin"/>
          </w:r>
          <w:r>
            <w:rPr>
              <w:rFonts w:hint="eastAsia" w:ascii="宋体" w:hAnsi="宋体" w:eastAsia="宋体" w:cs="宋体"/>
              <w:bCs/>
              <w:color w:val="auto"/>
              <w:sz w:val="32"/>
              <w:szCs w:val="40"/>
              <w:highlight w:val="none"/>
            </w:rPr>
            <w:instrText xml:space="preserve"> HYPERLINK \l _Toc22366 </w:instrText>
          </w:r>
          <w:r>
            <w:rPr>
              <w:rFonts w:hint="eastAsia" w:ascii="宋体" w:hAnsi="宋体" w:eastAsia="宋体" w:cs="宋体"/>
              <w:bCs/>
              <w:color w:val="auto"/>
              <w:sz w:val="32"/>
              <w:szCs w:val="40"/>
              <w:highlight w:val="none"/>
            </w:rPr>
            <w:fldChar w:fldCharType="separate"/>
          </w:r>
          <w:r>
            <w:rPr>
              <w:rFonts w:hint="eastAsia" w:ascii="宋体" w:hAnsi="宋体" w:eastAsia="宋体" w:cs="宋体"/>
              <w:bCs/>
              <w:color w:val="auto"/>
              <w:kern w:val="0"/>
              <w:sz w:val="32"/>
              <w:szCs w:val="56"/>
              <w:highlight w:val="none"/>
              <w:lang w:val="en-US" w:eastAsia="zh-CN" w:bidi="ar-SA"/>
            </w:rPr>
            <w:t>第五章　技术标准和要求</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_Toc22366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24</w:t>
          </w:r>
          <w:r>
            <w:rPr>
              <w:rFonts w:hint="eastAsia" w:ascii="宋体" w:hAnsi="宋体" w:eastAsia="宋体" w:cs="宋体"/>
              <w:color w:val="auto"/>
              <w:sz w:val="32"/>
              <w:szCs w:val="32"/>
              <w:highlight w:val="none"/>
            </w:rPr>
            <w:fldChar w:fldCharType="end"/>
          </w:r>
          <w:r>
            <w:rPr>
              <w:rFonts w:hint="eastAsia" w:ascii="宋体" w:hAnsi="宋体" w:eastAsia="宋体" w:cs="宋体"/>
              <w:bCs/>
              <w:color w:val="auto"/>
              <w:sz w:val="32"/>
              <w:szCs w:val="40"/>
              <w:highlight w:val="none"/>
            </w:rPr>
            <w:fldChar w:fldCharType="end"/>
          </w:r>
        </w:p>
        <w:p>
          <w:pPr>
            <w:pStyle w:val="14"/>
            <w:tabs>
              <w:tab w:val="right" w:leader="dot" w:pos="9070"/>
            </w:tabs>
            <w:spacing w:line="360" w:lineRule="auto"/>
            <w:rPr>
              <w:rFonts w:hint="eastAsia" w:ascii="宋体" w:hAnsi="宋体" w:eastAsia="宋体" w:cs="宋体"/>
              <w:color w:val="auto"/>
              <w:sz w:val="32"/>
              <w:szCs w:val="32"/>
              <w:highlight w:val="none"/>
            </w:rPr>
          </w:pPr>
          <w:r>
            <w:rPr>
              <w:rFonts w:hint="eastAsia" w:ascii="宋体" w:hAnsi="宋体" w:eastAsia="宋体" w:cs="宋体"/>
              <w:bCs/>
              <w:color w:val="auto"/>
              <w:sz w:val="32"/>
              <w:szCs w:val="40"/>
              <w:highlight w:val="none"/>
            </w:rPr>
            <w:fldChar w:fldCharType="begin"/>
          </w:r>
          <w:r>
            <w:rPr>
              <w:rFonts w:hint="eastAsia" w:ascii="宋体" w:hAnsi="宋体" w:eastAsia="宋体" w:cs="宋体"/>
              <w:bCs/>
              <w:color w:val="auto"/>
              <w:sz w:val="32"/>
              <w:szCs w:val="40"/>
              <w:highlight w:val="none"/>
            </w:rPr>
            <w:instrText xml:space="preserve"> HYPERLINK \l _Toc15031 </w:instrText>
          </w:r>
          <w:r>
            <w:rPr>
              <w:rFonts w:hint="eastAsia" w:ascii="宋体" w:hAnsi="宋体" w:eastAsia="宋体" w:cs="宋体"/>
              <w:bCs/>
              <w:color w:val="auto"/>
              <w:sz w:val="32"/>
              <w:szCs w:val="40"/>
              <w:highlight w:val="none"/>
            </w:rPr>
            <w:fldChar w:fldCharType="separate"/>
          </w:r>
          <w:r>
            <w:rPr>
              <w:rFonts w:hint="eastAsia" w:ascii="宋体" w:hAnsi="宋体" w:eastAsia="宋体" w:cs="宋体"/>
              <w:bCs/>
              <w:color w:val="auto"/>
              <w:kern w:val="0"/>
              <w:sz w:val="32"/>
              <w:szCs w:val="56"/>
              <w:highlight w:val="none"/>
            </w:rPr>
            <w:t>第</w:t>
          </w:r>
          <w:r>
            <w:rPr>
              <w:rFonts w:hint="eastAsia" w:ascii="宋体" w:hAnsi="宋体" w:eastAsia="宋体" w:cs="宋体"/>
              <w:bCs/>
              <w:color w:val="auto"/>
              <w:kern w:val="0"/>
              <w:sz w:val="32"/>
              <w:szCs w:val="56"/>
              <w:highlight w:val="none"/>
              <w:lang w:val="en-US" w:eastAsia="zh-CN"/>
            </w:rPr>
            <w:t>六</w:t>
          </w:r>
          <w:r>
            <w:rPr>
              <w:rFonts w:hint="eastAsia" w:ascii="宋体" w:hAnsi="宋体" w:eastAsia="宋体" w:cs="宋体"/>
              <w:bCs/>
              <w:color w:val="auto"/>
              <w:kern w:val="0"/>
              <w:sz w:val="32"/>
              <w:szCs w:val="56"/>
              <w:highlight w:val="none"/>
            </w:rPr>
            <w:t>章</w:t>
          </w:r>
          <w:r>
            <w:rPr>
              <w:rFonts w:hint="eastAsia" w:ascii="宋体" w:hAnsi="宋体" w:eastAsia="宋体" w:cs="宋体"/>
              <w:bCs/>
              <w:color w:val="auto"/>
              <w:kern w:val="0"/>
              <w:sz w:val="32"/>
              <w:szCs w:val="56"/>
              <w:highlight w:val="none"/>
              <w:lang w:val="en-US" w:eastAsia="zh-CN"/>
            </w:rPr>
            <w:t xml:space="preserve">  </w:t>
          </w:r>
          <w:r>
            <w:rPr>
              <w:rFonts w:hint="eastAsia" w:ascii="宋体" w:hAnsi="宋体" w:eastAsia="宋体" w:cs="宋体"/>
              <w:color w:val="auto"/>
              <w:sz w:val="32"/>
              <w:szCs w:val="56"/>
              <w:highlight w:val="none"/>
            </w:rPr>
            <w:t>投标文件格式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_Toc15031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25</w:t>
          </w:r>
          <w:r>
            <w:rPr>
              <w:rFonts w:hint="eastAsia" w:ascii="宋体" w:hAnsi="宋体" w:eastAsia="宋体" w:cs="宋体"/>
              <w:color w:val="auto"/>
              <w:sz w:val="32"/>
              <w:szCs w:val="32"/>
              <w:highlight w:val="none"/>
            </w:rPr>
            <w:fldChar w:fldCharType="end"/>
          </w:r>
          <w:r>
            <w:rPr>
              <w:rFonts w:hint="eastAsia" w:ascii="宋体" w:hAnsi="宋体" w:eastAsia="宋体" w:cs="宋体"/>
              <w:bCs/>
              <w:color w:val="auto"/>
              <w:sz w:val="32"/>
              <w:szCs w:val="40"/>
              <w:highlight w:val="none"/>
            </w:rPr>
            <w:fldChar w:fldCharType="end"/>
          </w:r>
        </w:p>
        <w:p>
          <w:pPr>
            <w:pStyle w:val="14"/>
            <w:tabs>
              <w:tab w:val="right" w:leader="dot" w:pos="9070"/>
            </w:tabs>
            <w:rPr>
              <w:color w:val="auto"/>
              <w:sz w:val="20"/>
              <w:szCs w:val="20"/>
              <w:highlight w:val="none"/>
            </w:rPr>
          </w:pPr>
        </w:p>
        <w:p>
          <w:pPr>
            <w:spacing w:line="600" w:lineRule="auto"/>
            <w:jc w:val="center"/>
            <w:rPr>
              <w:rFonts w:hint="eastAsia" w:ascii="宋体" w:hAnsi="宋体" w:eastAsia="宋体" w:cs="宋体"/>
              <w:b/>
              <w:color w:val="auto"/>
              <w:szCs w:val="28"/>
              <w:highlight w:val="none"/>
            </w:rPr>
            <w:sectPr>
              <w:footerReference r:id="rId5" w:type="first"/>
              <w:footerReference r:id="rId4" w:type="default"/>
              <w:pgSz w:w="11906" w:h="16838"/>
              <w:pgMar w:top="1100" w:right="1418" w:bottom="1247" w:left="1418" w:header="624" w:footer="748"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Cs/>
              <w:color w:val="auto"/>
              <w:sz w:val="18"/>
              <w:szCs w:val="22"/>
              <w:highlight w:val="none"/>
            </w:rPr>
            <w:fldChar w:fldCharType="end"/>
          </w:r>
          <w:bookmarkStart w:id="178" w:name="_GoBack"/>
          <w:bookmarkEnd w:id="178"/>
        </w:p>
      </w:sdtContent>
    </w:sdt>
    <w:p>
      <w:pPr>
        <w:pStyle w:val="3"/>
        <w:numPr>
          <w:ilvl w:val="0"/>
          <w:numId w:val="1"/>
        </w:numPr>
        <w:spacing w:line="360" w:lineRule="auto"/>
        <w:ind w:left="2696" w:leftChars="0" w:firstLine="0" w:firstLineChars="0"/>
        <w:jc w:val="both"/>
        <w:rPr>
          <w:rFonts w:hint="eastAsia" w:eastAsia="宋体" w:cs="宋体"/>
          <w:b w:val="0"/>
          <w:bCs w:val="0"/>
          <w:snapToGrid w:val="0"/>
          <w:color w:val="auto"/>
          <w:kern w:val="0"/>
          <w:sz w:val="44"/>
          <w:szCs w:val="44"/>
          <w:highlight w:val="none"/>
          <w:lang w:eastAsia="zh-CN"/>
        </w:rPr>
      </w:pPr>
      <w:bookmarkStart w:id="0" w:name="_Toc29574_WPSOffice_Level1"/>
      <w:bookmarkStart w:id="1" w:name="_Toc23355"/>
      <w:bookmarkStart w:id="2" w:name="_Toc81320365"/>
      <w:r>
        <w:rPr>
          <w:rFonts w:hint="eastAsia" w:ascii="宋体" w:hAnsi="宋体" w:eastAsia="宋体" w:cs="宋体"/>
          <w:b w:val="0"/>
          <w:bCs w:val="0"/>
          <w:snapToGrid w:val="0"/>
          <w:color w:val="auto"/>
          <w:kern w:val="0"/>
          <w:sz w:val="44"/>
          <w:szCs w:val="44"/>
          <w:highlight w:val="none"/>
        </w:rPr>
        <w:t xml:space="preserve"> </w:t>
      </w:r>
      <w:bookmarkEnd w:id="0"/>
      <w:bookmarkEnd w:id="1"/>
      <w:bookmarkStart w:id="3" w:name="_Toc5047"/>
      <w:r>
        <w:rPr>
          <w:rFonts w:hint="eastAsia" w:eastAsia="宋体" w:cs="宋体"/>
          <w:b w:val="0"/>
          <w:bCs w:val="0"/>
          <w:snapToGrid w:val="0"/>
          <w:color w:val="auto"/>
          <w:kern w:val="0"/>
          <w:sz w:val="44"/>
          <w:szCs w:val="44"/>
          <w:highlight w:val="none"/>
          <w:lang w:eastAsia="zh-CN"/>
        </w:rPr>
        <w:t>投标邀请书</w:t>
      </w:r>
      <w:bookmarkEnd w:id="3"/>
    </w:p>
    <w:p>
      <w:pPr>
        <w:widowControl w:val="0"/>
        <w:numPr>
          <w:ilvl w:val="0"/>
          <w:numId w:val="0"/>
        </w:numPr>
        <w:jc w:val="both"/>
        <w:rPr>
          <w:rFonts w:hint="eastAsia"/>
          <w:color w:val="auto"/>
          <w:highlight w:val="none"/>
          <w:lang w:eastAsia="zh-CN"/>
        </w:rPr>
      </w:pPr>
    </w:p>
    <w:p>
      <w:pPr>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snapToGrid w:val="0"/>
          <w:color w:val="auto"/>
          <w:kern w:val="0"/>
          <w:sz w:val="21"/>
          <w:szCs w:val="21"/>
          <w:highlight w:val="none"/>
          <w:u w:val="none"/>
          <w:lang w:val="en-US" w:eastAsia="zh-CN"/>
        </w:rPr>
        <w:t>重庆方郡建设工程咨询有限公司</w:t>
      </w:r>
      <w:r>
        <w:rPr>
          <w:rFonts w:hint="eastAsia" w:ascii="宋体" w:hAnsi="宋体" w:eastAsia="宋体" w:cs="宋体"/>
          <w:color w:val="auto"/>
          <w:sz w:val="21"/>
          <w:szCs w:val="21"/>
          <w:highlight w:val="none"/>
          <w:u w:val="none"/>
          <w:lang w:val="en-US" w:eastAsia="zh-CN"/>
        </w:rPr>
        <w:t>受重庆市南鸿建筑工程有限责任公司的委托，对</w:t>
      </w:r>
      <w:r>
        <w:rPr>
          <w:rFonts w:hint="eastAsia" w:ascii="宋体" w:hAnsi="宋体" w:eastAsia="宋体" w:cs="宋体"/>
          <w:color w:val="auto"/>
          <w:kern w:val="0"/>
          <w:sz w:val="21"/>
          <w:szCs w:val="21"/>
          <w:highlight w:val="none"/>
          <w:u w:val="none"/>
          <w:lang w:val="zh-CN" w:eastAsia="zh-CN"/>
        </w:rPr>
        <w:t>南川区社区养老服务设施建设项目（一期）信息智能化系统工程专业分包</w:t>
      </w:r>
      <w:r>
        <w:rPr>
          <w:rFonts w:hint="eastAsia" w:ascii="宋体" w:hAnsi="宋体" w:eastAsia="宋体" w:cs="宋体"/>
          <w:color w:val="auto"/>
          <w:sz w:val="21"/>
          <w:szCs w:val="21"/>
          <w:highlight w:val="none"/>
          <w:u w:val="none"/>
          <w:shd w:val="clear" w:color="auto" w:fill="auto"/>
          <w:lang w:val="en-US" w:eastAsia="zh-CN"/>
        </w:rPr>
        <w:t>进行</w:t>
      </w:r>
      <w:r>
        <w:rPr>
          <w:rFonts w:hint="eastAsia" w:ascii="宋体" w:hAnsi="宋体" w:eastAsia="宋体" w:cs="宋体"/>
          <w:color w:val="auto"/>
          <w:sz w:val="21"/>
          <w:szCs w:val="21"/>
          <w:highlight w:val="none"/>
          <w:u w:val="none"/>
        </w:rPr>
        <w:t>公开招标</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欢迎有资格的投标人参加投标。</w:t>
      </w:r>
    </w:p>
    <w:p>
      <w:pPr>
        <w:pStyle w:val="4"/>
        <w:numPr>
          <w:ilvl w:val="0"/>
          <w:numId w:val="2"/>
        </w:numPr>
        <w:snapToGrid w:val="0"/>
        <w:spacing w:before="0" w:after="0" w:line="360" w:lineRule="auto"/>
        <w:ind w:left="0" w:leftChars="0" w:firstLine="422" w:firstLineChars="200"/>
        <w:rPr>
          <w:rFonts w:hint="eastAsia" w:ascii="宋体" w:hAnsi="宋体" w:eastAsia="宋体" w:cs="宋体"/>
          <w:color w:val="auto"/>
          <w:sz w:val="21"/>
          <w:szCs w:val="21"/>
          <w:highlight w:val="none"/>
          <w:lang w:val="zh-CN" w:eastAsia="zh-CN"/>
        </w:rPr>
      </w:pPr>
      <w:bookmarkStart w:id="4" w:name="_Toc81320364"/>
      <w:r>
        <w:rPr>
          <w:rFonts w:hint="eastAsia" w:ascii="宋体" w:hAnsi="宋体" w:eastAsia="宋体" w:cs="宋体"/>
          <w:color w:val="auto"/>
          <w:sz w:val="21"/>
          <w:szCs w:val="21"/>
          <w:highlight w:val="none"/>
          <w:lang w:val="zh-CN" w:eastAsia="zh-CN"/>
        </w:rPr>
        <w:t>工程概况</w:t>
      </w:r>
      <w:bookmarkEnd w:id="4"/>
    </w:p>
    <w:p>
      <w:pPr>
        <w:pageBreakBefore w:val="0"/>
        <w:widowControl w:val="0"/>
        <w:kinsoku/>
        <w:wordWrap/>
        <w:overflowPunct/>
        <w:topLinePunct w:val="0"/>
        <w:bidi w:val="0"/>
        <w:snapToGrid w:val="0"/>
        <w:spacing w:line="480" w:lineRule="auto"/>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1.1</w:t>
      </w:r>
      <w:r>
        <w:rPr>
          <w:rFonts w:hint="eastAsia" w:ascii="宋体" w:hAnsi="宋体" w:eastAsia="宋体" w:cs="宋体"/>
          <w:color w:val="auto"/>
          <w:sz w:val="21"/>
          <w:szCs w:val="21"/>
          <w:highlight w:val="none"/>
          <w:u w:val="none"/>
        </w:rPr>
        <w:t xml:space="preserve"> 项目名称：</w:t>
      </w:r>
      <w:r>
        <w:rPr>
          <w:rFonts w:hint="eastAsia" w:ascii="宋体" w:hAnsi="宋体" w:eastAsia="宋体" w:cs="宋体"/>
          <w:color w:val="auto"/>
          <w:sz w:val="21"/>
          <w:szCs w:val="21"/>
          <w:highlight w:val="none"/>
          <w:u w:val="none"/>
          <w:lang w:eastAsia="zh-CN"/>
        </w:rPr>
        <w:t>南川区社区养老服务设施建设项目（一期）信息智能化系统工程专业分包</w:t>
      </w:r>
    </w:p>
    <w:p>
      <w:pPr>
        <w:pageBreakBefore w:val="0"/>
        <w:widowControl w:val="0"/>
        <w:kinsoku/>
        <w:wordWrap/>
        <w:overflowPunct/>
        <w:topLinePunct w:val="0"/>
        <w:bidi w:val="0"/>
        <w:snapToGrid w:val="0"/>
        <w:spacing w:line="480" w:lineRule="auto"/>
        <w:ind w:firstLine="420" w:firstLineChars="200"/>
        <w:jc w:val="left"/>
        <w:textAlignment w:val="auto"/>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1.2</w:t>
      </w:r>
      <w:r>
        <w:rPr>
          <w:rFonts w:hint="eastAsia" w:ascii="宋体" w:hAnsi="宋体" w:eastAsia="宋体" w:cs="宋体"/>
          <w:color w:val="auto"/>
          <w:sz w:val="21"/>
          <w:szCs w:val="21"/>
          <w:highlight w:val="none"/>
          <w:u w:val="none"/>
        </w:rPr>
        <w:t>建设地点：</w:t>
      </w:r>
      <w:r>
        <w:rPr>
          <w:rFonts w:hint="eastAsia" w:ascii="宋体" w:hAnsi="宋体" w:cs="楷体"/>
          <w:snapToGrid w:val="0"/>
          <w:color w:val="auto"/>
          <w:kern w:val="0"/>
          <w:szCs w:val="21"/>
          <w:highlight w:val="none"/>
          <w:u w:val="none"/>
          <w:lang w:eastAsia="zh-CN"/>
        </w:rPr>
        <w:t>南川区城区</w:t>
      </w:r>
    </w:p>
    <w:p>
      <w:pPr>
        <w:snapToGrid w:val="0"/>
        <w:spacing w:line="480" w:lineRule="auto"/>
        <w:ind w:firstLine="420" w:firstLineChars="200"/>
        <w:jc w:val="left"/>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1.3</w:t>
      </w:r>
      <w:r>
        <w:rPr>
          <w:rFonts w:hint="eastAsia" w:ascii="宋体" w:hAnsi="宋体" w:eastAsia="宋体" w:cs="宋体"/>
          <w:color w:val="auto"/>
          <w:sz w:val="21"/>
          <w:szCs w:val="21"/>
          <w:highlight w:val="none"/>
          <w:u w:val="none"/>
        </w:rPr>
        <w:t xml:space="preserve"> </w:t>
      </w:r>
      <w:r>
        <w:rPr>
          <w:rFonts w:hint="eastAsia" w:ascii="宋体" w:hAnsi="宋体" w:eastAsia="宋体" w:cs="宋体"/>
          <w:color w:val="auto"/>
          <w:sz w:val="21"/>
          <w:szCs w:val="21"/>
          <w:highlight w:val="none"/>
          <w:u w:val="none"/>
          <w:lang w:eastAsia="zh-CN"/>
        </w:rPr>
        <w:t>招标范围</w:t>
      </w:r>
      <w:r>
        <w:rPr>
          <w:rFonts w:hint="eastAsia" w:ascii="宋体" w:hAnsi="宋体" w:eastAsia="宋体" w:cs="宋体"/>
          <w:color w:val="auto"/>
          <w:sz w:val="21"/>
          <w:szCs w:val="21"/>
          <w:highlight w:val="none"/>
          <w:u w:val="none"/>
        </w:rPr>
        <w:t>：</w:t>
      </w:r>
      <w:r>
        <w:rPr>
          <w:rFonts w:hint="eastAsia" w:ascii="宋体" w:hAnsi="宋体" w:eastAsia="宋体" w:cs="宋体"/>
          <w:color w:val="auto"/>
          <w:kern w:val="0"/>
          <w:sz w:val="21"/>
          <w:szCs w:val="21"/>
          <w:highlight w:val="none"/>
          <w:u w:val="none"/>
          <w:lang w:val="zh-CN" w:eastAsia="zh-CN"/>
        </w:rPr>
        <w:t>完成本项目设备（材料）采购及安装，综合管网及布线系统建设。配套建设养老机构软件平台（网络系统、安防监控系统、信息发布系统、门禁系统、闭路电视系统、广播系统、护理呼叫系统、会议系统等），以及系统集成和质保期内的系统运行维护。</w:t>
      </w:r>
    </w:p>
    <w:p>
      <w:pPr>
        <w:pageBreakBefore w:val="0"/>
        <w:widowControl w:val="0"/>
        <w:kinsoku/>
        <w:wordWrap/>
        <w:overflowPunct/>
        <w:topLinePunct w:val="0"/>
        <w:bidi w:val="0"/>
        <w:snapToGrid w:val="0"/>
        <w:spacing w:line="480" w:lineRule="auto"/>
        <w:ind w:firstLine="420" w:firstLineChars="200"/>
        <w:jc w:val="left"/>
        <w:textAlignment w:val="auto"/>
        <w:rPr>
          <w:rFonts w:hint="eastAsia" w:ascii="宋体" w:hAnsi="宋体" w:cs="宋体" w:eastAsiaTheme="minorEastAsia"/>
          <w:color w:val="auto"/>
          <w:sz w:val="21"/>
          <w:szCs w:val="21"/>
          <w:highlight w:val="none"/>
          <w:u w:val="none"/>
          <w:lang w:eastAsia="zh-CN"/>
        </w:rPr>
      </w:pPr>
      <w:r>
        <w:rPr>
          <w:rFonts w:hint="eastAsia" w:ascii="宋体" w:hAnsi="宋体" w:eastAsia="宋体" w:cs="宋体"/>
          <w:color w:val="auto"/>
          <w:sz w:val="21"/>
          <w:szCs w:val="21"/>
          <w:highlight w:val="none"/>
          <w:u w:val="none"/>
          <w:lang w:val="en-US" w:eastAsia="zh-CN"/>
        </w:rPr>
        <w:t>1.4</w:t>
      </w:r>
      <w:r>
        <w:rPr>
          <w:rFonts w:hint="eastAsia" w:ascii="宋体" w:hAnsi="宋体" w:eastAsia="宋体" w:cs="宋体"/>
          <w:color w:val="auto"/>
          <w:sz w:val="21"/>
          <w:szCs w:val="21"/>
          <w:highlight w:val="none"/>
          <w:u w:val="none"/>
        </w:rPr>
        <w:t>计划工期：</w:t>
      </w:r>
      <w:r>
        <w:rPr>
          <w:rFonts w:hint="eastAsia" w:ascii="宋体" w:hAnsi="宋体" w:eastAsia="宋体" w:cs="宋体"/>
          <w:color w:val="auto"/>
          <w:sz w:val="21"/>
          <w:szCs w:val="21"/>
          <w:highlight w:val="none"/>
          <w:u w:val="none"/>
          <w:lang w:val="en-US" w:eastAsia="zh-CN"/>
        </w:rPr>
        <w:t>暂定120日历天，</w:t>
      </w:r>
      <w:r>
        <w:rPr>
          <w:rFonts w:hint="eastAsia" w:ascii="宋体" w:hAnsi="宋体"/>
          <w:snapToGrid w:val="0"/>
          <w:color w:val="auto"/>
          <w:kern w:val="0"/>
          <w:szCs w:val="21"/>
          <w:highlight w:val="none"/>
        </w:rPr>
        <w:t>缺陷责</w:t>
      </w:r>
      <w:r>
        <w:rPr>
          <w:rFonts w:hint="eastAsia" w:ascii="宋体" w:hAnsi="宋体"/>
          <w:snapToGrid w:val="0"/>
          <w:color w:val="auto"/>
          <w:kern w:val="0"/>
          <w:szCs w:val="21"/>
          <w:highlight w:val="none"/>
          <w:u w:val="none"/>
        </w:rPr>
        <w:t>任期要求：24个月</w:t>
      </w:r>
      <w:r>
        <w:rPr>
          <w:rFonts w:hint="eastAsia" w:ascii="宋体" w:hAnsi="宋体"/>
          <w:snapToGrid w:val="0"/>
          <w:color w:val="auto"/>
          <w:kern w:val="0"/>
          <w:szCs w:val="21"/>
          <w:highlight w:val="none"/>
          <w:u w:val="none"/>
          <w:lang w:eastAsia="zh-CN"/>
        </w:rPr>
        <w:t>。</w:t>
      </w:r>
    </w:p>
    <w:bookmarkEnd w:id="2"/>
    <w:p>
      <w:pPr>
        <w:pStyle w:val="4"/>
        <w:numPr>
          <w:ilvl w:val="0"/>
          <w:numId w:val="2"/>
        </w:numPr>
        <w:snapToGrid w:val="0"/>
        <w:spacing w:before="0" w:after="0" w:line="480" w:lineRule="auto"/>
        <w:ind w:left="0" w:leftChars="0" w:firstLine="422" w:firstLineChars="200"/>
        <w:rPr>
          <w:rFonts w:hint="eastAsia" w:ascii="宋体" w:hAnsi="宋体" w:eastAsia="宋体" w:cs="宋体"/>
          <w:color w:val="auto"/>
          <w:sz w:val="21"/>
          <w:szCs w:val="21"/>
          <w:highlight w:val="none"/>
          <w:lang w:val="zh-CN" w:eastAsia="zh-CN"/>
        </w:rPr>
      </w:pPr>
      <w:bookmarkStart w:id="5" w:name="_Toc81320366"/>
      <w:r>
        <w:rPr>
          <w:rFonts w:hint="eastAsia" w:ascii="宋体" w:hAnsi="宋体" w:eastAsia="宋体" w:cs="宋体"/>
          <w:color w:val="auto"/>
          <w:sz w:val="21"/>
          <w:szCs w:val="21"/>
          <w:highlight w:val="none"/>
          <w:lang w:val="zh-CN" w:eastAsia="zh-CN"/>
        </w:rPr>
        <w:t>投标人资格要求</w:t>
      </w:r>
      <w:bookmarkEnd w:id="5"/>
      <w:r>
        <w:rPr>
          <w:rFonts w:hint="eastAsia" w:ascii="宋体" w:hAnsi="宋体" w:eastAsia="宋体" w:cs="宋体"/>
          <w:color w:val="auto"/>
          <w:sz w:val="21"/>
          <w:szCs w:val="21"/>
          <w:highlight w:val="none"/>
          <w:lang w:val="en-US" w:eastAsia="zh-CN"/>
        </w:rPr>
        <w:t xml:space="preserve"> </w:t>
      </w:r>
    </w:p>
    <w:p>
      <w:pPr>
        <w:spacing w:before="120" w:beforeLines="50" w:after="120" w:afterLines="50" w:line="480" w:lineRule="auto"/>
        <w:ind w:firstLine="420" w:firstLineChars="200"/>
        <w:rPr>
          <w:rFonts w:hint="eastAsia" w:ascii="宋体" w:hAnsi="宋体" w:cs="宋体"/>
          <w:b/>
          <w:color w:val="auto"/>
          <w:kern w:val="0"/>
          <w:sz w:val="21"/>
          <w:szCs w:val="21"/>
          <w:highlight w:val="none"/>
        </w:rPr>
      </w:pPr>
      <w:bookmarkStart w:id="6" w:name="_Toc81320367"/>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w:t>
      </w:r>
      <w:r>
        <w:rPr>
          <w:rFonts w:hint="eastAsia" w:ascii="宋体" w:hAnsi="宋体" w:cs="宋体"/>
          <w:color w:val="auto"/>
          <w:kern w:val="0"/>
          <w:sz w:val="21"/>
          <w:szCs w:val="21"/>
          <w:highlight w:val="none"/>
        </w:rPr>
        <w:t>本次招</w:t>
      </w:r>
      <w:r>
        <w:rPr>
          <w:rFonts w:hint="eastAsia" w:ascii="宋体" w:hAnsi="宋体" w:cs="宋体"/>
          <w:color w:val="auto"/>
          <w:sz w:val="21"/>
          <w:szCs w:val="21"/>
          <w:highlight w:val="none"/>
        </w:rPr>
        <w:t>标实行资格后审,</w:t>
      </w:r>
      <w:r>
        <w:rPr>
          <w:rFonts w:ascii="宋体" w:hAnsi="宋体" w:cs="宋体"/>
          <w:color w:val="auto"/>
          <w:sz w:val="21"/>
          <w:szCs w:val="21"/>
          <w:highlight w:val="none"/>
        </w:rPr>
        <w:t xml:space="preserve"> 要求投标人</w:t>
      </w:r>
      <w:r>
        <w:rPr>
          <w:rFonts w:hint="eastAsia" w:ascii="宋体" w:hAnsi="宋体" w:cs="宋体"/>
          <w:color w:val="auto"/>
          <w:sz w:val="21"/>
          <w:szCs w:val="21"/>
          <w:highlight w:val="none"/>
        </w:rPr>
        <w:t>满足如下要求：</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（1）有效的营业执照；</w:t>
      </w:r>
    </w:p>
    <w:p>
      <w:pPr>
        <w:pageBreakBefore w:val="0"/>
        <w:widowControl w:val="0"/>
        <w:numPr>
          <w:ilvl w:val="0"/>
          <w:numId w:val="0"/>
        </w:numPr>
        <w:kinsoku/>
        <w:wordWrap/>
        <w:overflowPunct/>
        <w:topLinePunct w:val="0"/>
        <w:bidi w:val="0"/>
        <w:snapToGrid w:val="0"/>
        <w:spacing w:line="480" w:lineRule="auto"/>
        <w:ind w:left="420" w:leftChars="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）投标人应具有建设行政主管部门颁发的电子与智能化工程专业承包</w:t>
      </w:r>
      <w:r>
        <w:rPr>
          <w:rFonts w:hint="eastAsia" w:ascii="宋体" w:hAnsi="宋体" w:eastAsia="宋体" w:cs="宋体"/>
          <w:color w:val="auto"/>
          <w:sz w:val="21"/>
          <w:szCs w:val="21"/>
          <w:highlight w:val="none"/>
          <w:lang w:val="en-US" w:eastAsia="zh-CN"/>
        </w:rPr>
        <w:t>壹级</w:t>
      </w:r>
      <w:r>
        <w:rPr>
          <w:rFonts w:hint="eastAsia" w:ascii="宋体" w:hAnsi="宋体" w:eastAsia="宋体" w:cs="宋体"/>
          <w:color w:val="auto"/>
          <w:sz w:val="21"/>
          <w:szCs w:val="21"/>
          <w:highlight w:val="none"/>
          <w:lang w:eastAsia="zh-CN"/>
        </w:rPr>
        <w:t>资质</w:t>
      </w:r>
      <w:r>
        <w:rPr>
          <w:rFonts w:hint="eastAsia" w:ascii="宋体" w:hAnsi="宋体" w:eastAsia="宋体" w:cs="宋体"/>
          <w:color w:val="auto"/>
          <w:sz w:val="21"/>
          <w:szCs w:val="21"/>
          <w:highlight w:val="none"/>
          <w:u w:val="none"/>
          <w:lang w:eastAsia="zh-CN"/>
        </w:rPr>
        <w:t>；</w:t>
      </w:r>
    </w:p>
    <w:p>
      <w:pPr>
        <w:pageBreakBefore w:val="0"/>
        <w:widowControl w:val="0"/>
        <w:kinsoku/>
        <w:wordWrap/>
        <w:overflowPunct/>
        <w:topLinePunct w:val="0"/>
        <w:bidi w:val="0"/>
        <w:snapToGrid w:val="0"/>
        <w:spacing w:line="480" w:lineRule="auto"/>
        <w:ind w:left="239" w:leftChars="114" w:firstLine="210" w:firstLineChars="1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2</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val="en-US" w:eastAsia="zh-CN"/>
        </w:rPr>
        <w:t>2</w:t>
      </w:r>
      <w:r>
        <w:rPr>
          <w:rFonts w:hint="eastAsia" w:ascii="宋体" w:hAnsi="宋体" w:eastAsia="宋体" w:cs="宋体"/>
          <w:color w:val="auto"/>
          <w:sz w:val="21"/>
          <w:szCs w:val="21"/>
          <w:highlight w:val="none"/>
          <w:u w:val="none"/>
        </w:rPr>
        <w:t>本次招标不接受联合体投标。</w:t>
      </w:r>
    </w:p>
    <w:bookmarkEnd w:id="6"/>
    <w:p>
      <w:pPr>
        <w:overflowPunct w:val="0"/>
        <w:spacing w:line="480" w:lineRule="auto"/>
        <w:ind w:firstLine="241" w:firstLineChars="100"/>
        <w:rPr>
          <w:rFonts w:hint="eastAsia" w:ascii="宋体" w:hAnsi="宋体" w:eastAsia="宋体" w:cs="Times New Roman"/>
          <w:b/>
          <w:bCs/>
          <w:color w:val="auto"/>
          <w:kern w:val="2"/>
          <w:sz w:val="24"/>
          <w:szCs w:val="32"/>
          <w:highlight w:val="none"/>
          <w:lang w:val="en-US" w:eastAsia="zh-CN" w:bidi="ar-SA"/>
        </w:rPr>
      </w:pPr>
      <w:r>
        <w:rPr>
          <w:rFonts w:hint="eastAsia" w:ascii="宋体" w:hAnsi="宋体" w:eastAsia="宋体" w:cs="Times New Roman"/>
          <w:b/>
          <w:bCs/>
          <w:color w:val="auto"/>
          <w:kern w:val="2"/>
          <w:sz w:val="24"/>
          <w:szCs w:val="32"/>
          <w:highlight w:val="none"/>
          <w:lang w:val="en-US" w:eastAsia="zh-CN" w:bidi="ar-SA"/>
        </w:rPr>
        <w:t>3.投标、开标有关说明</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3.1凡有意参加招标的投标人,请于 2023 年6月21日起，在南川区城市建设投资（集团）有限公司官网直接下载本招标项目的招标文件等相关资料，不管投标人下载与否，都视为投标人收到以上资料并全部知晓有关招标过程和事宜。</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3.2投标地点：南川区西城街道南鸿大厦12楼经营部</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3.3投标截止时间：2023年 6月28日北京时间9时 00 分-9 时30分（超过投标截止时间递交的投标文件，恕不接收。）</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3.4招标文件每套售价600.00元，售后不退。各投标人在递交投标文件的时候一并缴纳，否则招标人和代理机构有权拒绝接受其投标文件。</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3.5开标时间：2023年6月28日北京时间9时30分。</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3.6开标地点：同投标地点</w:t>
      </w:r>
    </w:p>
    <w:p>
      <w:pPr>
        <w:overflowPunct w:val="0"/>
        <w:spacing w:line="480" w:lineRule="auto"/>
        <w:rPr>
          <w:rFonts w:hint="eastAsia" w:ascii="宋体" w:hAnsi="宋体" w:eastAsia="宋体" w:cs="Times New Roman"/>
          <w:b/>
          <w:bCs/>
          <w:color w:val="auto"/>
          <w:kern w:val="2"/>
          <w:sz w:val="24"/>
          <w:szCs w:val="32"/>
          <w:highlight w:val="none"/>
          <w:lang w:val="en-US" w:eastAsia="zh-CN" w:bidi="ar-SA"/>
        </w:rPr>
      </w:pPr>
      <w:bookmarkStart w:id="7" w:name="_Toc25048"/>
      <w:r>
        <w:rPr>
          <w:rFonts w:hint="eastAsia" w:ascii="宋体" w:hAnsi="宋体" w:eastAsia="宋体" w:cs="Times New Roman"/>
          <w:b/>
          <w:bCs/>
          <w:color w:val="auto"/>
          <w:kern w:val="2"/>
          <w:sz w:val="24"/>
          <w:szCs w:val="32"/>
          <w:highlight w:val="none"/>
          <w:lang w:val="en-US" w:eastAsia="zh-CN" w:bidi="ar-SA"/>
        </w:rPr>
        <w:t>4.联系方式</w:t>
      </w:r>
      <w:bookmarkEnd w:id="7"/>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招标人：重庆市南鸿建筑工程有限责任公司</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地  址：南川区西城街道南鸿大厦</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联系人：唐老师</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电  话：023-81110198 </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代理机构：重庆方郡建设工程咨询有限公司</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地  址：重庆市渝北区洪湖西路18号上峰上座15楼 </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联系人：肖雪        </w:t>
      </w:r>
    </w:p>
    <w:p>
      <w:pPr>
        <w:overflowPunct w:val="0"/>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电  话：15310117011</w:t>
      </w: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1"/>
        <w:rPr>
          <w:rFonts w:hint="eastAsia"/>
          <w:color w:val="auto"/>
          <w:highlight w:val="none"/>
          <w:lang w:val="en-US" w:eastAsia="zh-CN"/>
        </w:rPr>
      </w:pPr>
    </w:p>
    <w:p>
      <w:pPr>
        <w:pStyle w:val="2"/>
        <w:rPr>
          <w:rFonts w:hint="eastAsia"/>
          <w:color w:val="auto"/>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color w:val="auto"/>
          <w:highlight w:val="none"/>
          <w:lang w:val="en-US" w:eastAsia="zh-CN"/>
        </w:rPr>
      </w:pPr>
    </w:p>
    <w:p>
      <w:pPr>
        <w:pStyle w:val="2"/>
        <w:rPr>
          <w:rFonts w:hint="eastAsia" w:ascii="宋体" w:hAnsi="宋体" w:eastAsia="宋体" w:cs="宋体"/>
          <w:color w:val="auto"/>
          <w:szCs w:val="21"/>
          <w:highlight w:val="none"/>
          <w:lang w:val="en-US" w:eastAsia="zh-CN"/>
        </w:rPr>
      </w:pPr>
    </w:p>
    <w:p>
      <w:pPr>
        <w:rPr>
          <w:rFonts w:hint="eastAsia" w:ascii="宋体" w:hAnsi="宋体" w:eastAsia="宋体" w:cs="宋体"/>
          <w:color w:val="auto"/>
          <w:szCs w:val="21"/>
          <w:highlight w:val="none"/>
          <w:lang w:val="en-US" w:eastAsia="zh-CN"/>
        </w:rPr>
      </w:pPr>
    </w:p>
    <w:p>
      <w:pPr>
        <w:pStyle w:val="21"/>
        <w:rPr>
          <w:rFonts w:hint="eastAsia"/>
          <w:color w:val="auto"/>
          <w:highlight w:val="none"/>
          <w:lang w:val="en-US" w:eastAsia="zh-CN"/>
        </w:rPr>
      </w:pPr>
    </w:p>
    <w:p>
      <w:pPr>
        <w:rPr>
          <w:rFonts w:hint="eastAsia"/>
          <w:color w:val="auto"/>
          <w:highlight w:val="none"/>
        </w:rPr>
      </w:pPr>
    </w:p>
    <w:p>
      <w:pPr>
        <w:pStyle w:val="3"/>
        <w:rPr>
          <w:rFonts w:hint="eastAsia" w:ascii="宋体" w:hAnsi="宋体" w:eastAsia="宋体" w:cs="宋体"/>
          <w:b/>
          <w:color w:val="auto"/>
          <w:sz w:val="44"/>
          <w:szCs w:val="44"/>
          <w:highlight w:val="none"/>
        </w:rPr>
      </w:pPr>
      <w:bookmarkStart w:id="8" w:name="_Toc2883"/>
      <w:bookmarkStart w:id="9" w:name="_Toc81320371"/>
      <w:r>
        <w:rPr>
          <w:rFonts w:hint="eastAsia" w:ascii="宋体" w:hAnsi="宋体" w:eastAsia="宋体" w:cs="宋体"/>
          <w:b/>
          <w:color w:val="auto"/>
          <w:sz w:val="44"/>
          <w:szCs w:val="44"/>
          <w:highlight w:val="none"/>
        </w:rPr>
        <w:t>第</w:t>
      </w:r>
      <w:r>
        <w:rPr>
          <w:rFonts w:hint="eastAsia" w:ascii="宋体" w:hAnsi="宋体" w:eastAsia="宋体" w:cs="宋体"/>
          <w:b/>
          <w:color w:val="auto"/>
          <w:sz w:val="44"/>
          <w:szCs w:val="44"/>
          <w:highlight w:val="none"/>
          <w:lang w:eastAsia="zh-CN"/>
        </w:rPr>
        <w:t>二章</w:t>
      </w:r>
      <w:r>
        <w:rPr>
          <w:rFonts w:hint="eastAsia" w:ascii="宋体" w:hAnsi="宋体" w:eastAsia="宋体" w:cs="宋体"/>
          <w:b/>
          <w:color w:val="auto"/>
          <w:sz w:val="44"/>
          <w:szCs w:val="44"/>
          <w:highlight w:val="none"/>
        </w:rPr>
        <w:t xml:space="preserve">  投标人须知</w:t>
      </w:r>
      <w:bookmarkEnd w:id="8"/>
      <w:bookmarkEnd w:id="9"/>
    </w:p>
    <w:p>
      <w:pPr>
        <w:pStyle w:val="10"/>
        <w:rPr>
          <w:rFonts w:hint="eastAsia" w:ascii="宋体" w:hAnsi="宋体" w:eastAsia="宋体" w:cs="宋体"/>
          <w:color w:val="auto"/>
          <w:highlight w:val="none"/>
        </w:rPr>
      </w:pPr>
    </w:p>
    <w:p>
      <w:pPr>
        <w:pStyle w:val="4"/>
        <w:snapToGrid w:val="0"/>
        <w:spacing w:before="0" w:after="0" w:line="400" w:lineRule="exact"/>
        <w:rPr>
          <w:rFonts w:hint="eastAsia" w:ascii="宋体" w:hAnsi="宋体" w:eastAsia="宋体" w:cs="宋体"/>
          <w:b w:val="0"/>
          <w:bCs w:val="0"/>
          <w:color w:val="auto"/>
          <w:sz w:val="21"/>
          <w:szCs w:val="21"/>
          <w:highlight w:val="none"/>
        </w:rPr>
      </w:pPr>
      <w:bookmarkStart w:id="10" w:name="_Toc81320372"/>
      <w:r>
        <w:rPr>
          <w:rFonts w:hint="eastAsia" w:ascii="宋体" w:hAnsi="宋体" w:eastAsia="宋体" w:cs="宋体"/>
          <w:b w:val="0"/>
          <w:bCs w:val="0"/>
          <w:color w:val="auto"/>
          <w:sz w:val="21"/>
          <w:szCs w:val="21"/>
          <w:highlight w:val="none"/>
        </w:rPr>
        <w:t>投标人须知前附表</w:t>
      </w:r>
      <w:bookmarkEnd w:id="10"/>
    </w:p>
    <w:tbl>
      <w:tblPr>
        <w:tblStyle w:val="22"/>
        <w:tblW w:w="96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9"/>
        <w:gridCol w:w="1900"/>
        <w:gridCol w:w="6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blHead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highlight w:val="none"/>
              </w:rPr>
            </w:pPr>
            <w:r>
              <w:rPr>
                <w:rStyle w:val="40"/>
                <w:rFonts w:hint="eastAsia" w:ascii="宋体" w:hAnsi="宋体" w:eastAsia="宋体" w:cs="宋体"/>
                <w:b/>
                <w:color w:val="auto"/>
                <w:kern w:val="0"/>
                <w:sz w:val="21"/>
                <w:szCs w:val="21"/>
                <w:highlight w:val="none"/>
              </w:rPr>
              <w:t>条 款 号</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highlight w:val="none"/>
              </w:rPr>
            </w:pPr>
            <w:r>
              <w:rPr>
                <w:rStyle w:val="40"/>
                <w:rFonts w:hint="eastAsia" w:ascii="宋体" w:hAnsi="宋体" w:eastAsia="宋体" w:cs="宋体"/>
                <w:b/>
                <w:color w:val="auto"/>
                <w:kern w:val="0"/>
                <w:sz w:val="21"/>
                <w:szCs w:val="21"/>
                <w:highlight w:val="none"/>
              </w:rPr>
              <w:t>条款名称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right="27" w:rightChars="13"/>
              <w:jc w:val="center"/>
              <w:rPr>
                <w:rStyle w:val="40"/>
                <w:rFonts w:hint="eastAsia" w:ascii="宋体" w:hAnsi="宋体" w:eastAsia="宋体" w:cs="宋体"/>
                <w:b/>
                <w:color w:val="auto"/>
                <w:kern w:val="0"/>
                <w:sz w:val="21"/>
                <w:szCs w:val="21"/>
                <w:highlight w:val="none"/>
              </w:rPr>
            </w:pPr>
            <w:r>
              <w:rPr>
                <w:rStyle w:val="40"/>
                <w:rFonts w:hint="eastAsia" w:ascii="宋体" w:hAnsi="宋体" w:eastAsia="宋体" w:cs="宋体"/>
                <w:b/>
                <w:color w:val="auto"/>
                <w:kern w:val="0"/>
                <w:sz w:val="21"/>
                <w:szCs w:val="21"/>
                <w:highlight w:val="none"/>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1.1.2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招标人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snapToGrid w:val="0"/>
                <w:color w:val="auto"/>
                <w:kern w:val="0"/>
                <w:sz w:val="21"/>
                <w:szCs w:val="21"/>
                <w:highlight w:val="none"/>
              </w:rPr>
            </w:pPr>
            <w:r>
              <w:rPr>
                <w:rStyle w:val="40"/>
                <w:rFonts w:hint="eastAsia" w:ascii="宋体" w:hAnsi="宋体" w:eastAsia="宋体" w:cs="宋体"/>
                <w:snapToGrid w:val="0"/>
                <w:color w:val="auto"/>
                <w:kern w:val="0"/>
                <w:sz w:val="21"/>
                <w:szCs w:val="21"/>
                <w:highlight w:val="none"/>
              </w:rPr>
              <w:t>重庆市南鸿建筑工程有限责任公司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1.1.3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招标代理机构</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2" w:leftChars="101" w:right="27" w:rightChars="13" w:firstLine="205" w:firstLineChars="98"/>
              <w:rPr>
                <w:rStyle w:val="40"/>
                <w:rFonts w:hint="default" w:ascii="宋体" w:hAnsi="宋体" w:eastAsia="宋体" w:cs="宋体"/>
                <w:color w:val="auto"/>
                <w:kern w:val="0"/>
                <w:sz w:val="21"/>
                <w:szCs w:val="21"/>
                <w:highlight w:val="none"/>
                <w:lang w:val="en-US" w:eastAsia="zh-CN"/>
              </w:rPr>
            </w:pPr>
            <w:r>
              <w:rPr>
                <w:rStyle w:val="40"/>
                <w:rFonts w:hint="eastAsia" w:ascii="宋体" w:hAnsi="宋体" w:eastAsia="宋体" w:cs="宋体"/>
                <w:color w:val="auto"/>
                <w:kern w:val="0"/>
                <w:sz w:val="21"/>
                <w:szCs w:val="21"/>
                <w:highlight w:val="none"/>
                <w:lang w:eastAsia="zh-CN"/>
              </w:rPr>
              <w:t>重庆方郡建设工程咨询有限公司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1.1.4</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项目名称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right="27" w:rightChars="13" w:firstLine="420" w:firstLineChars="200"/>
              <w:jc w:val="left"/>
              <w:rPr>
                <w:rStyle w:val="40"/>
                <w:rFonts w:hint="eastAsia" w:ascii="宋体" w:hAnsi="宋体" w:eastAsia="宋体" w:cs="宋体"/>
                <w:color w:val="auto"/>
                <w:kern w:val="0"/>
                <w:sz w:val="21"/>
                <w:szCs w:val="21"/>
                <w:highlight w:val="none"/>
                <w:u w:val="none"/>
                <w:lang w:val="zh-CN"/>
              </w:rPr>
            </w:pPr>
            <w:r>
              <w:rPr>
                <w:rFonts w:hint="eastAsia" w:ascii="宋体" w:hAnsi="宋体" w:eastAsia="宋体" w:cs="宋体"/>
                <w:color w:val="auto"/>
                <w:sz w:val="21"/>
                <w:szCs w:val="21"/>
                <w:highlight w:val="none"/>
                <w:u w:val="none"/>
                <w:lang w:eastAsia="zh-CN"/>
              </w:rPr>
              <w:t>南川区社区养老服务设施建设项目（一期）信息智能化系统工程专业分包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1.1.5</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建设地点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right="27" w:rightChars="13" w:firstLine="420" w:firstLineChars="200"/>
              <w:jc w:val="left"/>
              <w:rPr>
                <w:rStyle w:val="40"/>
                <w:rFonts w:hint="eastAsia" w:ascii="宋体" w:hAnsi="宋体" w:eastAsia="宋体" w:cs="宋体"/>
                <w:color w:val="auto"/>
                <w:kern w:val="0"/>
                <w:sz w:val="21"/>
                <w:szCs w:val="21"/>
                <w:highlight w:val="none"/>
                <w:lang w:eastAsia="zh-CN"/>
              </w:rPr>
            </w:pPr>
            <w:r>
              <w:rPr>
                <w:rStyle w:val="40"/>
                <w:rFonts w:hint="eastAsia" w:ascii="宋体" w:hAnsi="宋体" w:eastAsia="宋体" w:cs="宋体"/>
                <w:color w:val="auto"/>
                <w:kern w:val="0"/>
                <w:sz w:val="21"/>
                <w:szCs w:val="21"/>
                <w:highlight w:val="none"/>
              </w:rPr>
              <w:t>南川区</w:t>
            </w:r>
            <w:r>
              <w:rPr>
                <w:rStyle w:val="40"/>
                <w:rFonts w:hint="eastAsia" w:ascii="宋体" w:hAnsi="宋体" w:eastAsia="宋体" w:cs="宋体"/>
                <w:color w:val="auto"/>
                <w:kern w:val="0"/>
                <w:sz w:val="21"/>
                <w:szCs w:val="21"/>
                <w:highlight w:val="none"/>
                <w:lang w:eastAsia="zh-CN"/>
              </w:rPr>
              <w:t>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1.2.1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资金来源</w:t>
            </w:r>
          </w:p>
        </w:tc>
        <w:tc>
          <w:tcPr>
            <w:tcW w:w="655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hd w:val="clear" w:color="auto" w:fill="FFFFFF"/>
              <w:kinsoku/>
              <w:wordWrap/>
              <w:overflowPunct/>
              <w:topLinePunct w:val="0"/>
              <w:bidi w:val="0"/>
              <w:spacing w:before="0" w:beforeAutospacing="0" w:after="0" w:afterAutospacing="0" w:line="360" w:lineRule="auto"/>
              <w:ind w:right="27" w:rightChars="13" w:firstLine="420" w:firstLineChars="200"/>
              <w:jc w:val="left"/>
              <w:rPr>
                <w:rStyle w:val="40"/>
                <w:rFonts w:hint="eastAsia" w:ascii="宋体" w:hAnsi="宋体" w:eastAsia="宋体" w:cs="宋体"/>
                <w:color w:val="auto"/>
                <w:sz w:val="21"/>
                <w:szCs w:val="21"/>
                <w:highlight w:val="none"/>
                <w:lang w:eastAsia="zh-CN"/>
              </w:rPr>
            </w:pPr>
            <w:r>
              <w:rPr>
                <w:rStyle w:val="40"/>
                <w:rFonts w:hint="eastAsia" w:eastAsia="宋体" w:cs="宋体"/>
                <w:color w:val="auto"/>
                <w:sz w:val="21"/>
                <w:szCs w:val="21"/>
                <w:highlight w:val="none"/>
                <w:lang w:eastAsia="zh-CN"/>
              </w:rPr>
              <w:t>工程进度款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1.2.2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出资比例</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jc w:val="left"/>
              <w:rPr>
                <w:rStyle w:val="40"/>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1.2.3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资金落实情况</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jc w:val="left"/>
              <w:rPr>
                <w:rStyle w:val="40"/>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1.3.1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eastAsia="zh-CN"/>
              </w:rPr>
              <w:t>承包</w:t>
            </w:r>
            <w:r>
              <w:rPr>
                <w:rFonts w:hint="eastAsia" w:ascii="宋体" w:hAnsi="宋体" w:eastAsia="宋体" w:cs="宋体"/>
                <w:color w:val="auto"/>
                <w:kern w:val="0"/>
                <w:sz w:val="21"/>
                <w:szCs w:val="21"/>
                <w:highlight w:val="none"/>
                <w:lang w:val="zh-CN"/>
              </w:rPr>
              <w:t>范围及</w:t>
            </w:r>
          </w:p>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承包方式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eastAsia="zh-CN"/>
              </w:rPr>
              <w:t>承包范围：</w:t>
            </w:r>
            <w:r>
              <w:rPr>
                <w:rFonts w:hint="eastAsia" w:ascii="宋体" w:hAnsi="宋体" w:eastAsia="宋体" w:cs="宋体"/>
                <w:color w:val="auto"/>
                <w:sz w:val="21"/>
                <w:szCs w:val="21"/>
                <w:highlight w:val="none"/>
                <w:lang w:val="zh-CN"/>
              </w:rPr>
              <w:t>完成本项目设备（材料）采购及安装，综合管网及布线系统建设。配套建设养老机构软件平台（网络系统、安防监控系统、信息发布系统、门禁系统、闭路电视系统、广播系统、护理呼叫系统、会议系统等），以及系统集成和质保期内的系统运行维护。</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rPr>
                <w:rFonts w:hint="eastAsia"/>
                <w:color w:val="auto"/>
                <w:highlight w:val="none"/>
              </w:rPr>
            </w:pPr>
            <w:r>
              <w:rPr>
                <w:rFonts w:hint="eastAsia" w:ascii="宋体" w:hAnsi="宋体" w:eastAsia="宋体" w:cs="宋体"/>
                <w:color w:val="auto"/>
                <w:sz w:val="21"/>
                <w:szCs w:val="21"/>
                <w:highlight w:val="none"/>
                <w:lang w:val="zh-CN"/>
              </w:rPr>
              <w:t>承包方式</w:t>
            </w:r>
            <w:r>
              <w:rPr>
                <w:rFonts w:hint="eastAsia" w:ascii="宋体" w:hAnsi="宋体" w:eastAsia="宋体" w:cs="宋体"/>
                <w:color w:val="auto"/>
                <w:sz w:val="21"/>
                <w:szCs w:val="21"/>
                <w:highlight w:val="none"/>
                <w:lang w:val="zh-CN" w:eastAsia="zh-CN"/>
              </w:rPr>
              <w:t>：包工包料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1.3.2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eastAsiaTheme="minorEastAsia"/>
                <w:color w:val="auto"/>
                <w:highlight w:val="none"/>
                <w:lang w:val="en-US" w:eastAsia="zh-CN"/>
              </w:rPr>
            </w:pPr>
            <w:r>
              <w:rPr>
                <w:rFonts w:hint="eastAsia"/>
                <w:color w:val="auto"/>
                <w:highlight w:val="none"/>
                <w:lang w:val="zh-CN"/>
              </w:rPr>
              <w:t>计划工期</w:t>
            </w:r>
            <w:r>
              <w:rPr>
                <w:rFonts w:hint="eastAsia"/>
                <w:color w:val="auto"/>
                <w:highlight w:val="none"/>
                <w:lang w:val="zh-CN" w:eastAsia="zh-CN"/>
              </w:rPr>
              <w:t>及</w:t>
            </w:r>
          </w:p>
          <w:p>
            <w:pPr>
              <w:keepNext w:val="0"/>
              <w:keepLines w:val="0"/>
              <w:pageBreakBefore w:val="0"/>
              <w:kinsoku/>
              <w:wordWrap/>
              <w:overflowPunct/>
              <w:topLinePunct w:val="0"/>
              <w:autoSpaceDE w:val="0"/>
              <w:autoSpaceDN w:val="0"/>
              <w:bidi w:val="0"/>
              <w:adjustRightInd w:val="0"/>
              <w:spacing w:line="360" w:lineRule="auto"/>
              <w:jc w:val="center"/>
              <w:rPr>
                <w:rFonts w:hint="eastAsia"/>
                <w:color w:val="auto"/>
                <w:highlight w:val="none"/>
                <w:lang w:val="zh-CN"/>
              </w:rPr>
            </w:pPr>
            <w:r>
              <w:rPr>
                <w:rFonts w:hint="eastAsia"/>
                <w:color w:val="auto"/>
                <w:highlight w:val="none"/>
                <w:lang w:val="zh-CN"/>
              </w:rPr>
              <w:t>缺陷责任期</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firstLine="420" w:firstLineChars="200"/>
              <w:jc w:val="left"/>
              <w:rPr>
                <w:rFonts w:hint="eastAsia"/>
                <w:color w:val="auto"/>
                <w:highlight w:val="none"/>
                <w:lang w:val="zh-CN"/>
              </w:rPr>
            </w:pPr>
            <w:r>
              <w:rPr>
                <w:rFonts w:hint="eastAsia"/>
                <w:color w:val="auto"/>
                <w:highlight w:val="none"/>
                <w:lang w:val="en-US" w:eastAsia="zh-CN"/>
              </w:rPr>
              <w:t>120</w:t>
            </w:r>
            <w:r>
              <w:rPr>
                <w:rFonts w:hint="eastAsia"/>
                <w:color w:val="auto"/>
                <w:highlight w:val="none"/>
                <w:lang w:val="zh-CN"/>
              </w:rPr>
              <w:t>日历天（具体以合同签订为准）</w:t>
            </w:r>
          </w:p>
          <w:p>
            <w:pPr>
              <w:keepNext w:val="0"/>
              <w:keepLines w:val="0"/>
              <w:pageBreakBefore w:val="0"/>
              <w:kinsoku/>
              <w:wordWrap/>
              <w:overflowPunct/>
              <w:topLinePunct w:val="0"/>
              <w:autoSpaceDE w:val="0"/>
              <w:autoSpaceDN w:val="0"/>
              <w:bidi w:val="0"/>
              <w:adjustRightInd w:val="0"/>
              <w:spacing w:line="360" w:lineRule="auto"/>
              <w:ind w:firstLine="420" w:firstLineChars="200"/>
              <w:jc w:val="left"/>
              <w:rPr>
                <w:rFonts w:hint="eastAsia"/>
                <w:color w:val="auto"/>
                <w:highlight w:val="none"/>
                <w:lang w:val="zh-CN"/>
              </w:rPr>
            </w:pPr>
            <w:r>
              <w:rPr>
                <w:rFonts w:hint="eastAsia"/>
                <w:color w:val="auto"/>
                <w:highlight w:val="none"/>
                <w:lang w:val="zh-CN"/>
              </w:rPr>
              <w:t>缺陷责任期要求：24个月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1.3.3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zh-CN"/>
              </w:rPr>
              <w:t xml:space="preserve">质量要求 </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rPr>
                <w:rStyle w:val="40"/>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达到国家、行业主管部门及地方现行有关施工质量验收规范、质量检验评定标准，一次性验收合格并交付使用。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1.4.1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p>
          <w:p>
            <w:pPr>
              <w:snapToGrid w:val="0"/>
              <w:spacing w:line="360" w:lineRule="auto"/>
              <w:jc w:val="center"/>
              <w:rPr>
                <w:rStyle w:val="40"/>
                <w:rFonts w:hint="eastAsia" w:ascii="宋体" w:hAnsi="宋体" w:eastAsia="宋体" w:cs="宋体"/>
                <w:color w:val="auto"/>
                <w:kern w:val="0"/>
                <w:sz w:val="21"/>
                <w:szCs w:val="21"/>
                <w:highlight w:val="none"/>
              </w:rPr>
            </w:pPr>
          </w:p>
          <w:p>
            <w:pPr>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投标人资质条件、能力和信誉</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428" w:firstLineChars="203"/>
              <w:jc w:val="left"/>
              <w:rPr>
                <w:rStyle w:val="40"/>
                <w:rFonts w:hint="eastAsia" w:ascii="宋体" w:hAnsi="宋体" w:eastAsia="宋体" w:cs="宋体"/>
                <w:b/>
                <w:bCs/>
                <w:color w:val="auto"/>
                <w:sz w:val="21"/>
                <w:szCs w:val="21"/>
                <w:highlight w:val="none"/>
                <w:u w:val="none"/>
              </w:rPr>
            </w:pPr>
            <w:r>
              <w:rPr>
                <w:rStyle w:val="40"/>
                <w:rFonts w:hint="eastAsia" w:ascii="宋体" w:hAnsi="宋体" w:eastAsia="宋体" w:cs="宋体"/>
                <w:b/>
                <w:bCs/>
                <w:color w:val="auto"/>
                <w:sz w:val="21"/>
                <w:szCs w:val="21"/>
                <w:highlight w:val="none"/>
              </w:rPr>
              <w:t>1、资</w:t>
            </w:r>
            <w:r>
              <w:rPr>
                <w:rStyle w:val="40"/>
                <w:rFonts w:hint="eastAsia" w:ascii="宋体" w:hAnsi="宋体" w:eastAsia="宋体" w:cs="宋体"/>
                <w:b/>
                <w:bCs/>
                <w:color w:val="auto"/>
                <w:sz w:val="21"/>
                <w:szCs w:val="21"/>
                <w:highlight w:val="none"/>
                <w:u w:val="none"/>
              </w:rPr>
              <w:t>质条件、营业执照及安全生产条件</w:t>
            </w:r>
          </w:p>
          <w:p>
            <w:pPr>
              <w:snapToGrid w:val="0"/>
              <w:spacing w:line="360" w:lineRule="auto"/>
              <w:ind w:right="27" w:rightChars="13" w:firstLine="420" w:firstLineChars="200"/>
              <w:jc w:val="left"/>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sz w:val="21"/>
                <w:szCs w:val="21"/>
                <w:highlight w:val="none"/>
                <w:u w:val="none"/>
              </w:rPr>
              <w:t>（1）</w:t>
            </w:r>
            <w:r>
              <w:rPr>
                <w:rFonts w:hint="eastAsia" w:ascii="宋体" w:hAnsi="宋体" w:eastAsia="宋体" w:cs="宋体"/>
                <w:snapToGrid w:val="0"/>
                <w:color w:val="auto"/>
                <w:kern w:val="0"/>
                <w:sz w:val="21"/>
                <w:szCs w:val="21"/>
                <w:highlight w:val="none"/>
                <w:u w:val="none"/>
              </w:rPr>
              <w:t>具备建设行政主管部门颁发的有效的</w:t>
            </w:r>
            <w:r>
              <w:rPr>
                <w:rFonts w:hint="eastAsia" w:ascii="宋体" w:hAnsi="宋体" w:eastAsia="宋体" w:cs="宋体"/>
                <w:color w:val="auto"/>
                <w:sz w:val="21"/>
                <w:szCs w:val="21"/>
                <w:highlight w:val="none"/>
                <w:lang w:eastAsia="zh-CN"/>
              </w:rPr>
              <w:t>电子与智能化工程专业承包</w:t>
            </w:r>
            <w:r>
              <w:rPr>
                <w:rFonts w:hint="eastAsia" w:ascii="宋体" w:hAnsi="宋体" w:eastAsia="宋体" w:cs="宋体"/>
                <w:color w:val="auto"/>
                <w:sz w:val="21"/>
                <w:szCs w:val="21"/>
                <w:highlight w:val="none"/>
                <w:lang w:val="en-US" w:eastAsia="zh-CN"/>
              </w:rPr>
              <w:t>壹级</w:t>
            </w:r>
            <w:r>
              <w:rPr>
                <w:rFonts w:hint="eastAsia" w:ascii="宋体" w:hAnsi="宋体" w:eastAsia="宋体" w:cs="宋体"/>
                <w:color w:val="auto"/>
                <w:sz w:val="21"/>
                <w:szCs w:val="21"/>
                <w:highlight w:val="none"/>
                <w:lang w:eastAsia="zh-CN"/>
              </w:rPr>
              <w:t>资质</w:t>
            </w:r>
            <w:r>
              <w:rPr>
                <w:rFonts w:hint="eastAsia" w:ascii="宋体" w:hAnsi="宋体" w:eastAsia="宋体" w:cs="宋体"/>
                <w:color w:val="auto"/>
                <w:sz w:val="21"/>
                <w:szCs w:val="21"/>
                <w:highlight w:val="none"/>
                <w:u w:val="none"/>
                <w:lang w:val="en-US" w:eastAsia="zh-CN"/>
              </w:rPr>
              <w:t>。</w:t>
            </w:r>
          </w:p>
          <w:p>
            <w:pPr>
              <w:snapToGrid w:val="0"/>
              <w:spacing w:line="360" w:lineRule="auto"/>
              <w:ind w:right="27" w:rightChars="13" w:firstLine="420" w:firstLineChars="200"/>
              <w:jc w:val="left"/>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投标人须在投标文件资格审查部分提供有效的带二维码标识的资质证书复印件。</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（2）具备有效的营业执照。</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投标人须在投标文件资格审查部分提供有效的营业执照复印件。</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 xml:space="preserve">（3）具备建设行政主管部门颁发的有效的安全生产许可证，企业 </w:t>
            </w:r>
          </w:p>
          <w:p>
            <w:pPr>
              <w:snapToGrid w:val="0"/>
              <w:spacing w:line="360" w:lineRule="auto"/>
              <w:ind w:right="27" w:rightChars="13"/>
              <w:jc w:val="left"/>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主要负责人</w:t>
            </w:r>
            <w:r>
              <w:rPr>
                <w:rStyle w:val="40"/>
                <w:rFonts w:hint="eastAsia" w:ascii="宋体" w:hAnsi="宋体" w:eastAsia="宋体" w:cs="宋体"/>
                <w:color w:val="auto"/>
                <w:sz w:val="21"/>
                <w:szCs w:val="21"/>
                <w:highlight w:val="none"/>
                <w:lang w:val="en-US" w:eastAsia="zh-CN"/>
              </w:rPr>
              <w:t>、</w:t>
            </w:r>
            <w:r>
              <w:rPr>
                <w:rStyle w:val="40"/>
                <w:rFonts w:hint="eastAsia" w:ascii="宋体" w:hAnsi="宋体" w:eastAsia="宋体" w:cs="宋体"/>
                <w:color w:val="auto"/>
                <w:sz w:val="21"/>
                <w:szCs w:val="21"/>
                <w:highlight w:val="none"/>
              </w:rPr>
              <w:t xml:space="preserve">拟担任该项目项目经理具备相应的由建设行政主管部门颁 </w:t>
            </w:r>
          </w:p>
          <w:p>
            <w:pPr>
              <w:snapToGrid w:val="0"/>
              <w:spacing w:line="360" w:lineRule="auto"/>
              <w:ind w:right="27" w:rightChars="13"/>
              <w:jc w:val="left"/>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发的有效的安全生产考核合格证书。</w:t>
            </w:r>
          </w:p>
          <w:p>
            <w:pPr>
              <w:snapToGrid w:val="0"/>
              <w:spacing w:line="360" w:lineRule="auto"/>
              <w:ind w:right="27" w:rightChars="13" w:firstLine="420" w:firstLineChars="200"/>
              <w:jc w:val="left"/>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投标人须在投标文件资格审查部分提供有效的安全生产许可证及安全生产考核合格证书复印件。</w:t>
            </w:r>
          </w:p>
          <w:p>
            <w:pPr>
              <w:autoSpaceDE w:val="0"/>
              <w:autoSpaceDN w:val="0"/>
              <w:adjustRightInd w:val="0"/>
              <w:snapToGrid w:val="0"/>
              <w:spacing w:line="360" w:lineRule="auto"/>
              <w:ind w:firstLine="417" w:firstLineChars="198"/>
              <w:rPr>
                <w:rFonts w:hint="eastAsia"/>
                <w:b/>
                <w:bCs/>
                <w:color w:val="auto"/>
                <w:highlight w:val="none"/>
                <w:lang w:val="en-US" w:eastAsia="zh-CN"/>
              </w:rPr>
            </w:pPr>
            <w:r>
              <w:rPr>
                <w:rFonts w:hint="eastAsia"/>
                <w:b/>
                <w:bCs/>
                <w:color w:val="auto"/>
                <w:highlight w:val="none"/>
                <w:lang w:val="en-US" w:eastAsia="zh-CN"/>
              </w:rPr>
              <w:t>2、业绩要求</w:t>
            </w:r>
          </w:p>
          <w:p>
            <w:pPr>
              <w:keepNext w:val="0"/>
              <w:keepLines w:val="0"/>
              <w:pageBreakBefore w:val="0"/>
              <w:numPr>
                <w:ilvl w:val="0"/>
                <w:numId w:val="0"/>
              </w:numPr>
              <w:kinsoku/>
              <w:wordWrap/>
              <w:overflowPunct/>
              <w:topLinePunct w:val="0"/>
              <w:bidi w:val="0"/>
              <w:snapToGrid w:val="0"/>
              <w:spacing w:line="360" w:lineRule="auto"/>
              <w:ind w:firstLine="420" w:firstLineChars="200"/>
              <w:textAlignment w:val="auto"/>
              <w:rPr>
                <w:rFonts w:hint="eastAsia"/>
                <w:color w:val="auto"/>
                <w:highlight w:val="none"/>
              </w:rPr>
            </w:pPr>
            <w:r>
              <w:rPr>
                <w:color w:val="auto"/>
                <w:highlight w:val="none"/>
              </w:rPr>
              <w:t>20</w:t>
            </w:r>
            <w:r>
              <w:rPr>
                <w:rFonts w:hint="eastAsia"/>
                <w:color w:val="auto"/>
                <w:highlight w:val="none"/>
                <w:lang w:val="en-US" w:eastAsia="zh-CN"/>
              </w:rPr>
              <w:t>20</w:t>
            </w:r>
            <w:r>
              <w:rPr>
                <w:color w:val="auto"/>
                <w:highlight w:val="none"/>
              </w:rPr>
              <w:t>年</w:t>
            </w:r>
            <w:r>
              <w:rPr>
                <w:rFonts w:hint="eastAsia"/>
                <w:color w:val="auto"/>
                <w:highlight w:val="none"/>
                <w:lang w:val="en-US" w:eastAsia="zh-CN"/>
              </w:rPr>
              <w:t>1月1日</w:t>
            </w:r>
            <w:r>
              <w:rPr>
                <w:rFonts w:hint="eastAsia"/>
                <w:color w:val="auto"/>
                <w:highlight w:val="none"/>
                <w:lang w:eastAsia="zh-CN"/>
              </w:rPr>
              <w:t>起</w:t>
            </w:r>
            <w:r>
              <w:rPr>
                <w:rFonts w:hint="eastAsia" w:ascii="宋体" w:hAnsi="宋体" w:eastAsia="宋体" w:cs="宋体"/>
                <w:color w:val="auto"/>
                <w:sz w:val="21"/>
                <w:szCs w:val="21"/>
                <w:highlight w:val="none"/>
                <w:u w:val="none"/>
                <w:lang w:val="en-US" w:eastAsia="zh-CN"/>
              </w:rPr>
              <w:t>至今具有</w:t>
            </w:r>
            <w:r>
              <w:rPr>
                <w:rFonts w:hint="eastAsia" w:ascii="宋体" w:hAnsi="宋体" w:eastAsia="宋体" w:cs="宋体"/>
                <w:color w:val="auto"/>
                <w:sz w:val="21"/>
                <w:szCs w:val="21"/>
                <w:highlight w:val="none"/>
                <w:lang w:eastAsia="zh-CN"/>
              </w:rPr>
              <w:t>电子与智能化工程专</w:t>
            </w:r>
            <w:r>
              <w:rPr>
                <w:rFonts w:hint="eastAsia" w:ascii="宋体" w:hAnsi="宋体" w:eastAsia="宋体" w:cs="宋体"/>
                <w:color w:val="auto"/>
                <w:sz w:val="21"/>
                <w:szCs w:val="21"/>
                <w:highlight w:val="none"/>
                <w:u w:val="none"/>
              </w:rPr>
              <w:t>业</w:t>
            </w:r>
            <w:r>
              <w:rPr>
                <w:rFonts w:hint="eastAsia" w:ascii="宋体" w:hAnsi="宋体" w:eastAsia="宋体" w:cs="宋体"/>
                <w:color w:val="auto"/>
                <w:sz w:val="21"/>
                <w:szCs w:val="21"/>
                <w:highlight w:val="none"/>
                <w:u w:val="none"/>
                <w:lang w:val="en-US" w:eastAsia="zh-CN"/>
              </w:rPr>
              <w:t>业</w:t>
            </w:r>
            <w:r>
              <w:rPr>
                <w:rFonts w:hint="eastAsia" w:ascii="宋体" w:hAnsi="宋体" w:eastAsia="宋体" w:cs="宋体"/>
                <w:color w:val="auto"/>
                <w:sz w:val="21"/>
                <w:szCs w:val="21"/>
                <w:highlight w:val="none"/>
                <w:u w:val="none"/>
              </w:rPr>
              <w:t>绩</w:t>
            </w:r>
            <w:r>
              <w:rPr>
                <w:rFonts w:hint="eastAsia" w:ascii="宋体" w:hAnsi="宋体" w:eastAsia="宋体" w:cs="宋体"/>
                <w:color w:val="auto"/>
                <w:sz w:val="21"/>
                <w:szCs w:val="21"/>
                <w:highlight w:val="none"/>
                <w:u w:val="none"/>
                <w:lang w:val="en-US" w:eastAsia="zh-CN"/>
              </w:rPr>
              <w:t>且金额不少于500万元</w:t>
            </w:r>
            <w:r>
              <w:rPr>
                <w:rFonts w:hint="eastAsia" w:ascii="宋体" w:hAnsi="宋体" w:eastAsia="宋体" w:cs="宋体"/>
                <w:color w:val="auto"/>
                <w:sz w:val="21"/>
                <w:szCs w:val="21"/>
                <w:highlight w:val="none"/>
                <w:u w:val="none"/>
                <w:lang w:eastAsia="zh-CN"/>
              </w:rPr>
              <w:t>。</w:t>
            </w:r>
            <w:r>
              <w:rPr>
                <w:rFonts w:hint="eastAsia" w:ascii="宋体" w:hAnsi="宋体" w:eastAsia="宋体" w:cs="宋体"/>
                <w:b w:val="0"/>
                <w:bCs w:val="0"/>
                <w:color w:val="auto"/>
                <w:kern w:val="0"/>
                <w:sz w:val="21"/>
                <w:szCs w:val="21"/>
                <w:highlight w:val="none"/>
                <w:lang w:eastAsia="zh-CN"/>
              </w:rPr>
              <w:t>提供承包</w:t>
            </w:r>
            <w:r>
              <w:rPr>
                <w:rFonts w:hint="eastAsia" w:ascii="宋体" w:hAnsi="宋体" w:eastAsia="宋体" w:cs="宋体"/>
                <w:b w:val="0"/>
                <w:bCs w:val="0"/>
                <w:color w:val="auto"/>
                <w:kern w:val="0"/>
                <w:sz w:val="21"/>
                <w:szCs w:val="21"/>
                <w:highlight w:val="none"/>
                <w:lang w:val="en-US" w:eastAsia="zh-CN"/>
              </w:rPr>
              <w:t>合同复印件</w:t>
            </w:r>
            <w:r>
              <w:rPr>
                <w:rFonts w:hint="eastAsia" w:ascii="宋体" w:hAnsi="宋体" w:eastAsia="宋体" w:cs="宋体"/>
                <w:b w:val="0"/>
                <w:bCs w:val="0"/>
                <w:color w:val="auto"/>
                <w:kern w:val="0"/>
                <w:sz w:val="21"/>
                <w:szCs w:val="21"/>
                <w:highlight w:val="none"/>
                <w:lang w:eastAsia="zh-CN"/>
              </w:rPr>
              <w:t>加盖投标人公章。</w:t>
            </w:r>
          </w:p>
          <w:p>
            <w:pPr>
              <w:autoSpaceDE w:val="0"/>
              <w:autoSpaceDN w:val="0"/>
              <w:adjustRightInd w:val="0"/>
              <w:snapToGrid w:val="0"/>
              <w:spacing w:line="360" w:lineRule="auto"/>
              <w:ind w:firstLine="417" w:firstLineChars="198"/>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3、财务要求：2022年财务状况良好，不亏损。</w:t>
            </w:r>
          </w:p>
          <w:p>
            <w:pPr>
              <w:keepNext w:val="0"/>
              <w:keepLines w:val="0"/>
              <w:pageBreakBefore w:val="0"/>
              <w:widowControl w:val="0"/>
              <w:kinsoku/>
              <w:wordWrap/>
              <w:overflowPunct w:val="0"/>
              <w:topLinePunct w:val="0"/>
              <w:bidi w:val="0"/>
              <w:spacing w:line="312" w:lineRule="auto"/>
              <w:ind w:firstLine="420" w:firstLineChars="200"/>
              <w:textAlignment w:val="auto"/>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投标人需附2022年度经审计的财务报告复印件或经投标人确认盖章的财务报表，财务报表须至少包括现金流量表、资产负债表、利润表。</w:t>
            </w:r>
          </w:p>
          <w:p>
            <w:pPr>
              <w:autoSpaceDE w:val="0"/>
              <w:autoSpaceDN w:val="0"/>
              <w:adjustRightInd w:val="0"/>
              <w:snapToGrid w:val="0"/>
              <w:spacing w:line="360" w:lineRule="auto"/>
              <w:ind w:firstLine="415" w:firstLineChars="198"/>
              <w:rPr>
                <w:rFonts w:hint="eastAsia" w:ascii="Times New Roman" w:hAnsi="Times New Roman" w:eastAsia="宋体" w:cs="Times New Roman"/>
                <w:color w:val="auto"/>
                <w:highlight w:val="none"/>
                <w:lang w:val="zh-CN" w:eastAsia="zh-CN"/>
              </w:rPr>
            </w:pPr>
            <w:r>
              <w:rPr>
                <w:rFonts w:hint="eastAsia" w:ascii="Times New Roman" w:hAnsi="Times New Roman" w:eastAsia="宋体" w:cs="Times New Roman"/>
                <w:color w:val="auto"/>
                <w:highlight w:val="none"/>
                <w:lang w:val="zh-CN" w:eastAsia="zh-CN"/>
              </w:rPr>
              <w:t>（格式</w:t>
            </w:r>
            <w:r>
              <w:rPr>
                <w:rFonts w:hint="eastAsia" w:ascii="Times New Roman" w:hAnsi="Times New Roman" w:eastAsia="宋体" w:cs="Times New Roman"/>
                <w:color w:val="auto"/>
                <w:highlight w:val="none"/>
                <w:lang w:val="en-US" w:eastAsia="zh-CN"/>
              </w:rPr>
              <w:t>详见第六章投标文件格式</w:t>
            </w:r>
            <w:r>
              <w:rPr>
                <w:rFonts w:hint="eastAsia" w:ascii="Times New Roman" w:hAnsi="Times New Roman" w:eastAsia="宋体" w:cs="Times New Roman"/>
                <w:color w:val="auto"/>
                <w:highlight w:val="none"/>
                <w:lang w:val="zh-CN" w:eastAsia="zh-CN"/>
              </w:rPr>
              <w:t>）。</w:t>
            </w:r>
          </w:p>
          <w:p>
            <w:pPr>
              <w:adjustRightInd w:val="0"/>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lang w:val="en-US" w:eastAsia="zh-CN"/>
              </w:rPr>
              <w:t>3</w:t>
            </w:r>
            <w:r>
              <w:rPr>
                <w:rFonts w:ascii="宋体" w:hAnsi="宋体"/>
                <w:b/>
                <w:color w:val="auto"/>
                <w:szCs w:val="21"/>
                <w:highlight w:val="none"/>
              </w:rPr>
              <w:t>.投标截止日投标资格情况</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投标人自行承诺（格式见第八章投标文件格式）不得存在下列情形之一：</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（5）被重庆市</w:t>
            </w:r>
            <w:r>
              <w:rPr>
                <w:rFonts w:hint="eastAsia" w:asciiTheme="minorEastAsia" w:hAnsiTheme="minorEastAsia" w:eastAsiaTheme="minorEastAsia" w:cstheme="minorEastAsia"/>
                <w:color w:val="auto"/>
                <w:szCs w:val="21"/>
                <w:highlight w:val="none"/>
              </w:rPr>
              <w:t>市级有关行业</w:t>
            </w:r>
            <w:r>
              <w:rPr>
                <w:rFonts w:hint="eastAsia" w:ascii="宋体" w:hAnsi="宋体"/>
                <w:color w:val="auto"/>
                <w:szCs w:val="21"/>
                <w:highlight w:val="none"/>
              </w:rPr>
              <w:t>主管部门暂停在渝承揽新业务且在暂停期内。</w:t>
            </w:r>
          </w:p>
          <w:p>
            <w:pPr>
              <w:spacing w:line="400" w:lineRule="exact"/>
              <w:ind w:firstLine="420" w:firstLineChars="200"/>
              <w:rPr>
                <w:rFonts w:hint="eastAsia"/>
                <w:color w:val="auto"/>
                <w:highlight w:val="none"/>
              </w:rPr>
            </w:pPr>
            <w:r>
              <w:rPr>
                <w:rFonts w:hint="eastAsia"/>
                <w:color w:val="auto"/>
                <w:highlight w:val="none"/>
              </w:rPr>
              <w:t>投标人须在投标文件资格审查部分提供承诺。</w:t>
            </w:r>
          </w:p>
          <w:p>
            <w:pPr>
              <w:spacing w:line="360" w:lineRule="auto"/>
              <w:ind w:right="27" w:rightChars="13" w:firstLine="422" w:firstLineChars="200"/>
              <w:rPr>
                <w:color w:val="auto"/>
                <w:highlight w:val="none"/>
              </w:rPr>
            </w:pPr>
            <w:r>
              <w:rPr>
                <w:rFonts w:hint="eastAsia" w:ascii="宋体" w:hAnsi="宋体" w:eastAsia="宋体" w:cs="宋体"/>
                <w:b/>
                <w:color w:val="auto"/>
                <w:sz w:val="21"/>
                <w:szCs w:val="21"/>
                <w:highlight w:val="none"/>
                <w:lang w:val="en-US" w:eastAsia="zh-CN"/>
              </w:rPr>
              <w:t>5、项目经理资</w:t>
            </w:r>
            <w:r>
              <w:rPr>
                <w:rFonts w:hint="eastAsia" w:ascii="宋体" w:hAnsi="宋体" w:eastAsia="宋体" w:cs="宋体"/>
                <w:b/>
                <w:bCs/>
                <w:color w:val="auto"/>
                <w:kern w:val="0"/>
                <w:sz w:val="21"/>
                <w:szCs w:val="21"/>
                <w:highlight w:val="none"/>
                <w:lang w:val="en-US" w:eastAsia="zh-CN" w:bidi="ar"/>
              </w:rPr>
              <w:t>格要求</w:t>
            </w:r>
          </w:p>
          <w:p>
            <w:pPr>
              <w:keepNext w:val="0"/>
              <w:keepLines w:val="0"/>
              <w:pageBreakBefore w:val="0"/>
              <w:widowControl w:val="0"/>
              <w:kinsoku/>
              <w:wordWrap/>
              <w:overflowPunct w:val="0"/>
              <w:topLinePunct w:val="0"/>
              <w:bidi w:val="0"/>
              <w:spacing w:line="312" w:lineRule="auto"/>
              <w:ind w:firstLine="420" w:firstLineChars="200"/>
              <w:textAlignment w:val="auto"/>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投标人拟派的项目经理必须已在投标人本单位注册并应具有机电工程专业二级及以上注册建造师执业资格。</w:t>
            </w:r>
          </w:p>
          <w:p>
            <w:pPr>
              <w:pStyle w:val="2"/>
              <w:ind w:firstLine="420" w:firstLineChars="200"/>
              <w:rPr>
                <w:rFonts w:hint="eastAsia" w:eastAsia="宋体"/>
                <w:color w:val="auto"/>
                <w:highlight w:val="none"/>
                <w:lang w:val="en-US" w:eastAsia="zh-CN"/>
              </w:rPr>
            </w:pPr>
            <w:r>
              <w:rPr>
                <w:rFonts w:hint="eastAsia" w:ascii="宋体" w:hAnsi="宋体" w:eastAsia="宋体" w:cs="宋体"/>
                <w:color w:val="auto"/>
                <w:sz w:val="21"/>
                <w:szCs w:val="21"/>
                <w:highlight w:val="none"/>
              </w:rPr>
              <w:t>投标人须在投标文件资格审查部分提供有效的拟派</w:t>
            </w:r>
            <w:r>
              <w:rPr>
                <w:rFonts w:hint="eastAsia" w:ascii="宋体" w:hAnsi="宋体" w:cs="宋体"/>
                <w:color w:val="auto"/>
                <w:sz w:val="21"/>
                <w:szCs w:val="21"/>
                <w:highlight w:val="none"/>
                <w:lang w:eastAsia="zh-CN"/>
              </w:rPr>
              <w:t>项目经理</w:t>
            </w:r>
            <w:r>
              <w:rPr>
                <w:rFonts w:hint="eastAsia" w:ascii="宋体" w:hAnsi="宋体" w:eastAsia="宋体" w:cs="宋体"/>
                <w:color w:val="auto"/>
                <w:sz w:val="21"/>
                <w:szCs w:val="21"/>
                <w:highlight w:val="none"/>
              </w:rPr>
              <w:t>建造师注册证、身份证、投标人为其缴纳的养老保险证明材料复印件</w:t>
            </w:r>
            <w:r>
              <w:rPr>
                <w:rFonts w:hint="eastAsia" w:ascii="宋体" w:hAnsi="宋体" w:eastAsia="宋体" w:cs="宋体"/>
                <w:color w:val="auto"/>
                <w:sz w:val="21"/>
                <w:szCs w:val="21"/>
                <w:highlight w:val="none"/>
                <w:lang w:eastAsia="zh-CN"/>
              </w:rPr>
              <w:t>。</w:t>
            </w:r>
          </w:p>
          <w:p>
            <w:pPr>
              <w:keepNext w:val="0"/>
              <w:keepLines w:val="0"/>
              <w:widowControl/>
              <w:suppressLineNumbers w:val="0"/>
              <w:ind w:firstLine="422" w:firstLineChars="2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6、其他要求</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主要管理人员：</w:t>
            </w:r>
          </w:p>
          <w:p>
            <w:pPr>
              <w:autoSpaceDE w:val="0"/>
              <w:autoSpaceDN w:val="0"/>
              <w:adjustRightIn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招标人可取消其中标资格，给招标人造成损失的，投标人依法承担违约赔偿责任。</w:t>
            </w:r>
          </w:p>
          <w:p>
            <w:pPr>
              <w:autoSpaceDE w:val="0"/>
              <w:autoSpaceDN w:val="0"/>
              <w:adjustRightIn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投标人须在投标文件资格审查部分提供承诺（承诺格式见第八章投标文件格式）。</w:t>
            </w:r>
          </w:p>
          <w:p>
            <w:pPr>
              <w:keepNext w:val="0"/>
              <w:keepLines w:val="0"/>
              <w:pageBreakBefore w:val="0"/>
              <w:widowControl w:val="0"/>
              <w:kinsoku/>
              <w:wordWrap/>
              <w:topLinePunct w:val="0"/>
              <w:autoSpaceDE w:val="0"/>
              <w:autoSpaceDN w:val="0"/>
              <w:bidi w:val="0"/>
              <w:adjustRightInd w:val="0"/>
              <w:snapToGrid w:val="0"/>
              <w:spacing w:line="312" w:lineRule="auto"/>
              <w:ind w:firstLine="417" w:firstLineChars="198"/>
              <w:jc w:val="left"/>
              <w:textAlignment w:val="auto"/>
              <w:rPr>
                <w:rFonts w:ascii="宋体" w:hAnsi="宋体" w:cs="宋体"/>
                <w:b/>
                <w:color w:val="auto"/>
                <w:szCs w:val="21"/>
                <w:highlight w:val="none"/>
              </w:rPr>
            </w:pPr>
            <w:r>
              <w:rPr>
                <w:rFonts w:hint="eastAsia" w:ascii="宋体" w:hAnsi="宋体" w:cs="宋体"/>
                <w:b/>
                <w:color w:val="auto"/>
                <w:szCs w:val="21"/>
                <w:highlight w:val="none"/>
              </w:rPr>
              <w:t>特别说明：</w:t>
            </w:r>
          </w:p>
          <w:p>
            <w:pPr>
              <w:keepNext w:val="0"/>
              <w:keepLines w:val="0"/>
              <w:pageBreakBefore w:val="0"/>
              <w:widowControl w:val="0"/>
              <w:kinsoku/>
              <w:wordWrap/>
              <w:topLinePunct w:val="0"/>
              <w:bidi w:val="0"/>
              <w:spacing w:line="312" w:lineRule="auto"/>
              <w:textAlignment w:val="auto"/>
              <w:rPr>
                <w:rFonts w:hint="eastAsia" w:ascii="宋体" w:hAnsi="宋体" w:eastAsia="宋体" w:cs="宋体"/>
                <w:color w:val="auto"/>
                <w:szCs w:val="21"/>
                <w:highlight w:val="none"/>
                <w:u w:val="none"/>
                <w:lang w:val="zh-CN" w:eastAsia="zh-CN"/>
              </w:rPr>
            </w:pPr>
            <w:r>
              <w:rPr>
                <w:rFonts w:hint="eastAsia" w:ascii="宋体" w:hAnsi="宋体" w:eastAsia="宋体" w:cs="宋体"/>
                <w:color w:val="auto"/>
                <w:szCs w:val="21"/>
                <w:highlight w:val="none"/>
                <w:u w:val="none"/>
                <w:lang w:val="zh-CN" w:eastAsia="zh-CN"/>
              </w:rPr>
              <w:t>（1）上述1～</w:t>
            </w:r>
            <w:r>
              <w:rPr>
                <w:rFonts w:hint="eastAsia" w:ascii="宋体" w:hAnsi="宋体" w:eastAsia="宋体" w:cs="宋体"/>
                <w:color w:val="auto"/>
                <w:szCs w:val="21"/>
                <w:highlight w:val="none"/>
                <w:u w:val="none"/>
                <w:lang w:val="en-US" w:eastAsia="zh-CN"/>
              </w:rPr>
              <w:t>6</w:t>
            </w:r>
            <w:r>
              <w:rPr>
                <w:rFonts w:hint="eastAsia" w:ascii="宋体" w:hAnsi="宋体" w:eastAsia="宋体" w:cs="宋体"/>
                <w:color w:val="auto"/>
                <w:szCs w:val="21"/>
                <w:highlight w:val="none"/>
                <w:u w:val="none"/>
                <w:lang w:val="zh-CN" w:eastAsia="zh-CN"/>
              </w:rPr>
              <w:t>条所须提交的相关证明材料</w:t>
            </w:r>
            <w:r>
              <w:rPr>
                <w:rFonts w:hint="eastAsia" w:ascii="宋体" w:hAnsi="宋体" w:eastAsia="宋体" w:cs="宋体"/>
                <w:color w:val="auto"/>
                <w:szCs w:val="21"/>
                <w:highlight w:val="none"/>
                <w:u w:val="none"/>
                <w:lang w:val="en-US" w:eastAsia="zh-CN"/>
              </w:rPr>
              <w:t>复印件</w:t>
            </w:r>
            <w:r>
              <w:rPr>
                <w:rFonts w:hint="eastAsia" w:ascii="宋体" w:hAnsi="宋体" w:eastAsia="宋体" w:cs="宋体"/>
                <w:color w:val="auto"/>
                <w:szCs w:val="21"/>
                <w:highlight w:val="none"/>
                <w:u w:val="none"/>
                <w:lang w:val="zh-CN" w:eastAsia="zh-CN"/>
              </w:rPr>
              <w:t>均应加盖投标人</w:t>
            </w:r>
            <w:r>
              <w:rPr>
                <w:rFonts w:hint="eastAsia" w:ascii="宋体" w:hAnsi="宋体" w:eastAsia="宋体" w:cs="宋体"/>
                <w:color w:val="auto"/>
                <w:szCs w:val="21"/>
                <w:highlight w:val="none"/>
                <w:u w:val="none"/>
                <w:lang w:val="en-US" w:eastAsia="zh-CN"/>
              </w:rPr>
              <w:t>鲜章</w:t>
            </w:r>
            <w:r>
              <w:rPr>
                <w:rFonts w:hint="eastAsia" w:ascii="宋体" w:hAnsi="宋体" w:eastAsia="宋体" w:cs="宋体"/>
                <w:color w:val="auto"/>
                <w:szCs w:val="21"/>
                <w:highlight w:val="none"/>
                <w:u w:val="none"/>
                <w:lang w:val="zh-CN" w:eastAsia="zh-CN"/>
              </w:rPr>
              <w:t>，有一条不满足则投标文件由评标委员会作否决投标处理。</w:t>
            </w:r>
          </w:p>
          <w:p>
            <w:pPr>
              <w:keepNext w:val="0"/>
              <w:keepLines w:val="0"/>
              <w:pageBreakBefore w:val="0"/>
              <w:widowControl w:val="0"/>
              <w:kinsoku/>
              <w:wordWrap/>
              <w:topLinePunct w:val="0"/>
              <w:bidi w:val="0"/>
              <w:spacing w:line="312" w:lineRule="auto"/>
              <w:textAlignment w:val="auto"/>
              <w:rPr>
                <w:rFonts w:hint="eastAsia" w:ascii="宋体" w:hAnsi="宋体" w:eastAsia="宋体" w:cs="宋体"/>
                <w:color w:val="auto"/>
                <w:szCs w:val="21"/>
                <w:highlight w:val="none"/>
                <w:u w:val="none"/>
                <w:lang w:val="zh-CN" w:eastAsia="zh-CN"/>
              </w:rPr>
            </w:pPr>
            <w:r>
              <w:rPr>
                <w:rFonts w:hint="eastAsia" w:ascii="宋体" w:hAnsi="宋体" w:eastAsia="宋体" w:cs="宋体"/>
                <w:color w:val="auto"/>
                <w:szCs w:val="21"/>
                <w:highlight w:val="none"/>
                <w:u w:val="none"/>
                <w:lang w:val="zh-CN" w:eastAsia="zh-CN"/>
              </w:rPr>
              <w:t>（2）投标人须自行承诺其提供的上述相关证明材料真实有效，不存在弄虚作假情形。招标人在合同签订前均有权对投标人提供的资料进行核实，若发现弄虚作假，取消其中标资格，投标人承担因此造成的相关责任并赔偿相应损失。</w:t>
            </w:r>
          </w:p>
          <w:p>
            <w:pPr>
              <w:keepNext w:val="0"/>
              <w:keepLines w:val="0"/>
              <w:pageBreakBefore w:val="0"/>
              <w:widowControl w:val="0"/>
              <w:kinsoku/>
              <w:wordWrap/>
              <w:topLinePunct w:val="0"/>
              <w:bidi w:val="0"/>
              <w:spacing w:line="312" w:lineRule="auto"/>
              <w:textAlignment w:val="auto"/>
              <w:rPr>
                <w:rFonts w:hint="eastAsia" w:ascii="宋体" w:hAnsi="宋体" w:eastAsia="宋体" w:cs="宋体"/>
                <w:color w:val="auto"/>
                <w:szCs w:val="21"/>
                <w:highlight w:val="none"/>
                <w:u w:val="none"/>
                <w:lang w:val="zh-CN" w:eastAsia="zh-CN"/>
              </w:rPr>
            </w:pPr>
            <w:r>
              <w:rPr>
                <w:rFonts w:hint="eastAsia" w:ascii="宋体" w:hAnsi="宋体" w:eastAsia="宋体" w:cs="宋体"/>
                <w:color w:val="auto"/>
                <w:szCs w:val="21"/>
                <w:highlight w:val="none"/>
                <w:u w:val="none"/>
                <w:lang w:val="zh-CN" w:eastAsia="zh-CN"/>
              </w:rPr>
              <w:t>（3）本招标文件中所要求的人员养老保险证明要求如下：</w:t>
            </w:r>
          </w:p>
          <w:p>
            <w:pPr>
              <w:keepNext w:val="0"/>
              <w:keepLines w:val="0"/>
              <w:pageBreakBefore w:val="0"/>
              <w:widowControl w:val="0"/>
              <w:kinsoku/>
              <w:wordWrap/>
              <w:topLinePunct w:val="0"/>
              <w:bidi w:val="0"/>
              <w:spacing w:line="312" w:lineRule="auto"/>
              <w:textAlignment w:val="auto"/>
              <w:rPr>
                <w:rFonts w:hint="eastAsia" w:ascii="宋体" w:hAnsi="宋体" w:eastAsia="宋体" w:cs="宋体"/>
                <w:color w:val="auto"/>
                <w:szCs w:val="21"/>
                <w:highlight w:val="none"/>
                <w:u w:val="none"/>
                <w:lang w:val="zh-CN" w:eastAsia="zh-CN"/>
              </w:rPr>
            </w:pPr>
            <w:r>
              <w:rPr>
                <w:rFonts w:hint="eastAsia" w:ascii="宋体" w:hAnsi="宋体" w:eastAsia="宋体" w:cs="宋体"/>
                <w:color w:val="auto"/>
                <w:szCs w:val="21"/>
                <w:highlight w:val="none"/>
                <w:u w:val="none"/>
                <w:lang w:val="zh-CN" w:eastAsia="zh-CN"/>
              </w:rPr>
              <w:t>①社会单位提供养老保险证明，事业单位提供养老保险证明或行政主管部门在编证明。</w:t>
            </w:r>
          </w:p>
          <w:p>
            <w:pPr>
              <w:pStyle w:val="41"/>
              <w:numPr>
                <w:ilvl w:val="0"/>
                <w:numId w:val="0"/>
              </w:numPr>
              <w:spacing w:line="360" w:lineRule="auto"/>
              <w:ind w:right="27" w:rightChars="13"/>
              <w:rPr>
                <w:rStyle w:val="40"/>
                <w:rFonts w:hint="eastAsia" w:ascii="宋体" w:hAnsi="宋体" w:eastAsia="宋体" w:cs="宋体"/>
                <w:color w:val="auto"/>
                <w:sz w:val="21"/>
                <w:szCs w:val="21"/>
                <w:highlight w:val="none"/>
              </w:rPr>
            </w:pPr>
            <w:r>
              <w:rPr>
                <w:rFonts w:hint="eastAsia" w:ascii="宋体" w:hAnsi="宋体" w:eastAsia="宋体" w:cs="宋体"/>
                <w:color w:val="auto"/>
                <w:szCs w:val="21"/>
                <w:highlight w:val="none"/>
                <w:u w:val="none"/>
                <w:lang w:val="zh-CN" w:eastAsia="zh-CN"/>
              </w:rPr>
              <w:t>②</w:t>
            </w:r>
            <w:r>
              <w:rPr>
                <w:rFonts w:hint="eastAsia" w:ascii="宋体" w:hAnsi="宋体" w:eastAsia="宋体" w:cs="宋体"/>
                <w:color w:val="auto"/>
                <w:szCs w:val="21"/>
                <w:highlight w:val="none"/>
                <w:u w:val="none"/>
                <w:lang w:val="en-US" w:eastAsia="zh-CN"/>
              </w:rPr>
              <w:t>项目经理</w:t>
            </w:r>
            <w:r>
              <w:rPr>
                <w:rFonts w:hint="eastAsia" w:ascii="宋体" w:hAnsi="宋体" w:eastAsia="宋体" w:cs="宋体"/>
                <w:color w:val="auto"/>
                <w:szCs w:val="21"/>
                <w:highlight w:val="none"/>
                <w:u w:val="none"/>
                <w:lang w:val="zh-CN" w:eastAsia="zh-CN"/>
              </w:rPr>
              <w:t>的连续养老保险证明期限为</w:t>
            </w:r>
            <w:r>
              <w:rPr>
                <w:rFonts w:hint="eastAsia" w:ascii="宋体" w:hAnsi="宋体" w:eastAsia="宋体" w:cs="宋体"/>
                <w:color w:val="auto"/>
                <w:szCs w:val="21"/>
                <w:highlight w:val="none"/>
                <w:u w:val="none"/>
                <w:lang w:val="en-US" w:eastAsia="zh-CN"/>
              </w:rPr>
              <w:t>2022年12月-2023年5月</w:t>
            </w:r>
            <w:r>
              <w:rPr>
                <w:rFonts w:hint="eastAsia" w:ascii="宋体" w:hAnsi="宋体" w:eastAsia="宋体" w:cs="宋体"/>
                <w:color w:val="auto"/>
                <w:szCs w:val="21"/>
                <w:highlight w:val="none"/>
                <w:u w:val="none"/>
                <w:lang w:val="zh-CN" w:eastAsia="zh-CN"/>
              </w:rPr>
              <w:t>。</w:t>
            </w:r>
            <w:r>
              <w:rPr>
                <w:rFonts w:hint="eastAsia" w:ascii="宋体" w:hAnsi="宋体" w:eastAsia="宋体" w:cs="宋体"/>
                <w:color w:val="auto"/>
                <w:kern w:val="0"/>
                <w:sz w:val="21"/>
                <w:szCs w:val="21"/>
                <w:highlight w:val="none"/>
                <w:lang w:val="en-US" w:eastAsia="zh-CN" w:bidi="ar"/>
              </w:rPr>
              <w:t>提供的养老保险参保证明须体现上述人员的姓名、身份证号（或社保号）、单位名称、单位编号（或单位社保编号）、本单位参保时间（或起始参保时间），并带有社保部门公章或社保部门的有效电子印章。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1.9.1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踏勘现场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不组织，由投标人自行踏勘。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1.10.1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投标预备会</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1.11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分包</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构成</w:t>
            </w:r>
            <w:r>
              <w:rPr>
                <w:rFonts w:hint="eastAsia" w:ascii="宋体" w:hAnsi="宋体" w:eastAsia="宋体" w:cs="宋体"/>
                <w:color w:val="auto"/>
                <w:kern w:val="0"/>
                <w:sz w:val="21"/>
                <w:szCs w:val="21"/>
                <w:highlight w:val="none"/>
                <w:lang w:val="en-US" w:eastAsia="zh-CN"/>
              </w:rPr>
              <w:t>招标</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kern w:val="0"/>
                <w:sz w:val="21"/>
                <w:szCs w:val="21"/>
                <w:highlight w:val="none"/>
              </w:rPr>
              <w:t>的其他材料</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招标人发出的澄清答疑及补遗书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投标人对</w:t>
            </w:r>
            <w:r>
              <w:rPr>
                <w:rFonts w:hint="eastAsia" w:ascii="宋体" w:hAnsi="宋体" w:eastAsia="宋体" w:cs="宋体"/>
                <w:color w:val="auto"/>
                <w:kern w:val="0"/>
                <w:sz w:val="21"/>
                <w:szCs w:val="21"/>
                <w:highlight w:val="none"/>
                <w:lang w:val="en-US" w:eastAsia="zh-CN"/>
              </w:rPr>
              <w:t>招标</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kern w:val="0"/>
                <w:sz w:val="21"/>
                <w:szCs w:val="21"/>
                <w:highlight w:val="none"/>
              </w:rPr>
              <w:t>提出疑问的截止时间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0" w:leftChars="0" w:right="27" w:rightChars="13" w:firstLine="218" w:firstLineChars="104"/>
              <w:rPr>
                <w:rStyle w:val="40"/>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投标人在收到</w:t>
            </w:r>
            <w:r>
              <w:rPr>
                <w:rFonts w:hint="eastAsia" w:ascii="宋体" w:hAnsi="宋体" w:eastAsia="宋体" w:cs="宋体"/>
                <w:b w:val="0"/>
                <w:bCs w:val="0"/>
                <w:color w:val="auto"/>
                <w:kern w:val="0"/>
                <w:sz w:val="21"/>
                <w:szCs w:val="21"/>
                <w:highlight w:val="none"/>
                <w:lang w:val="en-US" w:eastAsia="zh-CN"/>
              </w:rPr>
              <w:t>招标</w:t>
            </w:r>
            <w:r>
              <w:rPr>
                <w:rFonts w:hint="eastAsia" w:ascii="宋体" w:hAnsi="宋体" w:eastAsia="宋体" w:cs="宋体"/>
                <w:b w:val="0"/>
                <w:bCs w:val="0"/>
                <w:color w:val="auto"/>
                <w:kern w:val="0"/>
                <w:sz w:val="21"/>
                <w:szCs w:val="21"/>
                <w:highlight w:val="none"/>
                <w:lang w:eastAsia="zh-CN"/>
              </w:rPr>
              <w:t>文件</w:t>
            </w:r>
            <w:r>
              <w:rPr>
                <w:rFonts w:hint="eastAsia" w:ascii="宋体" w:hAnsi="宋体" w:eastAsia="宋体" w:cs="宋体"/>
                <w:b w:val="0"/>
                <w:bCs w:val="0"/>
                <w:color w:val="auto"/>
                <w:kern w:val="0"/>
                <w:sz w:val="21"/>
                <w:szCs w:val="21"/>
                <w:highlight w:val="none"/>
              </w:rPr>
              <w:t>后，应仔细检查</w:t>
            </w:r>
            <w:r>
              <w:rPr>
                <w:rFonts w:hint="eastAsia" w:ascii="宋体" w:hAnsi="宋体" w:eastAsia="宋体" w:cs="宋体"/>
                <w:b w:val="0"/>
                <w:bCs w:val="0"/>
                <w:color w:val="auto"/>
                <w:kern w:val="0"/>
                <w:sz w:val="21"/>
                <w:szCs w:val="21"/>
                <w:highlight w:val="none"/>
                <w:lang w:val="en-US" w:eastAsia="zh-CN"/>
              </w:rPr>
              <w:t>招标</w:t>
            </w:r>
            <w:r>
              <w:rPr>
                <w:rFonts w:hint="eastAsia" w:ascii="宋体" w:hAnsi="宋体" w:eastAsia="宋体" w:cs="宋体"/>
                <w:b w:val="0"/>
                <w:bCs w:val="0"/>
                <w:color w:val="auto"/>
                <w:kern w:val="0"/>
                <w:sz w:val="21"/>
                <w:szCs w:val="21"/>
                <w:highlight w:val="none"/>
                <w:lang w:eastAsia="zh-CN"/>
              </w:rPr>
              <w:t>文件</w:t>
            </w:r>
            <w:r>
              <w:rPr>
                <w:rFonts w:hint="eastAsia" w:ascii="宋体" w:hAnsi="宋体" w:eastAsia="宋体" w:cs="宋体"/>
                <w:b w:val="0"/>
                <w:bCs w:val="0"/>
                <w:color w:val="auto"/>
                <w:kern w:val="0"/>
                <w:sz w:val="21"/>
                <w:szCs w:val="21"/>
                <w:highlight w:val="none"/>
              </w:rPr>
              <w:t>的所有内容，如有残缺或文字表述不清，图纸尺寸标注不明以及存在错、碰、漏、缺、概念模糊和有可能出现歧义或理解上的偏差的内容等应在</w:t>
            </w:r>
            <w:r>
              <w:rPr>
                <w:rFonts w:hint="eastAsia" w:ascii="宋体" w:hAnsi="宋体" w:eastAsia="宋体" w:cs="宋体"/>
                <w:b/>
                <w:bCs/>
                <w:color w:val="auto"/>
                <w:sz w:val="21"/>
                <w:szCs w:val="21"/>
                <w:highlight w:val="none"/>
                <w:u w:val="single"/>
                <w:lang w:eastAsia="zh-CN"/>
              </w:rPr>
              <w:t>2</w:t>
            </w:r>
            <w:r>
              <w:rPr>
                <w:rFonts w:hint="eastAsia" w:ascii="宋体" w:hAnsi="宋体" w:eastAsia="宋体" w:cs="宋体"/>
                <w:b/>
                <w:bCs/>
                <w:color w:val="auto"/>
                <w:sz w:val="21"/>
                <w:szCs w:val="21"/>
                <w:highlight w:val="none"/>
                <w:u w:val="single"/>
                <w:lang w:val="en-US" w:eastAsia="zh-CN"/>
              </w:rPr>
              <w:t>023年6月27 日</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u w:val="single"/>
                <w:lang w:val="en-US" w:eastAsia="zh-CN"/>
              </w:rPr>
              <w:t>9</w:t>
            </w:r>
            <w:r>
              <w:rPr>
                <w:rFonts w:hint="eastAsia" w:ascii="宋体" w:hAnsi="宋体" w:eastAsia="宋体" w:cs="宋体"/>
                <w:b w:val="0"/>
                <w:bCs w:val="0"/>
                <w:color w:val="auto"/>
                <w:sz w:val="21"/>
                <w:szCs w:val="21"/>
                <w:highlight w:val="none"/>
              </w:rPr>
              <w:t>时</w:t>
            </w:r>
            <w:r>
              <w:rPr>
                <w:rFonts w:hint="eastAsia" w:ascii="宋体" w:hAnsi="宋体" w:eastAsia="宋体" w:cs="宋体"/>
                <w:b w:val="0"/>
                <w:bCs w:val="0"/>
                <w:color w:val="auto"/>
                <w:kern w:val="0"/>
                <w:sz w:val="21"/>
                <w:szCs w:val="21"/>
                <w:highlight w:val="none"/>
              </w:rPr>
              <w:t>前</w:t>
            </w:r>
            <w:r>
              <w:rPr>
                <w:rFonts w:hint="eastAsia" w:ascii="宋体" w:hAnsi="宋体" w:eastAsia="宋体" w:cs="宋体"/>
                <w:b w:val="0"/>
                <w:bCs w:val="0"/>
                <w:color w:val="auto"/>
                <w:sz w:val="21"/>
                <w:szCs w:val="21"/>
                <w:highlight w:val="none"/>
              </w:rPr>
              <w:t>以书面材料的形式将质疑内容送至招标人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2.2.2</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招标人对</w:t>
            </w:r>
            <w:r>
              <w:rPr>
                <w:rFonts w:hint="eastAsia" w:ascii="宋体" w:hAnsi="宋体" w:eastAsia="宋体" w:cs="宋体"/>
                <w:color w:val="auto"/>
                <w:kern w:val="0"/>
                <w:sz w:val="21"/>
                <w:szCs w:val="21"/>
                <w:highlight w:val="none"/>
                <w:lang w:val="en-US" w:eastAsia="zh-CN"/>
              </w:rPr>
              <w:t>招标</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sz w:val="21"/>
                <w:szCs w:val="21"/>
                <w:highlight w:val="none"/>
              </w:rPr>
              <w:t>澄清的</w:t>
            </w:r>
            <w:r>
              <w:rPr>
                <w:rFonts w:hint="eastAsia" w:ascii="宋体" w:hAnsi="宋体" w:eastAsia="宋体" w:cs="宋体"/>
                <w:color w:val="auto"/>
                <w:kern w:val="0"/>
                <w:sz w:val="21"/>
                <w:szCs w:val="21"/>
                <w:highlight w:val="none"/>
              </w:rPr>
              <w:t>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9" w:firstLineChars="104"/>
              <w:rPr>
                <w:rStyle w:val="40"/>
                <w:rFonts w:hint="eastAsia" w:ascii="宋体" w:hAnsi="宋体" w:eastAsia="宋体" w:cs="宋体"/>
                <w:b w:val="0"/>
                <w:bCs w:val="0"/>
                <w:color w:val="auto"/>
                <w:sz w:val="21"/>
                <w:szCs w:val="21"/>
                <w:highlight w:val="none"/>
                <w:u w:val="single"/>
              </w:rPr>
            </w:pPr>
            <w:r>
              <w:rPr>
                <w:rFonts w:hint="eastAsia" w:ascii="宋体" w:hAnsi="宋体" w:eastAsia="宋体" w:cs="宋体"/>
                <w:b/>
                <w:bCs/>
                <w:color w:val="auto"/>
                <w:sz w:val="21"/>
                <w:szCs w:val="21"/>
                <w:highlight w:val="none"/>
                <w:u w:val="single"/>
                <w:lang w:val="en-US" w:eastAsia="zh-CN"/>
              </w:rPr>
              <w:t>2023年 6月 27 日</w:t>
            </w:r>
            <w:r>
              <w:rPr>
                <w:rFonts w:hint="eastAsia" w:ascii="宋体" w:hAnsi="宋体" w:eastAsia="宋体" w:cs="宋体"/>
                <w:b w:val="0"/>
                <w:bCs w:val="0"/>
                <w:color w:val="auto"/>
                <w:sz w:val="21"/>
                <w:szCs w:val="21"/>
                <w:highlight w:val="none"/>
                <w:u w:val="single"/>
                <w:lang w:val="en-US" w:eastAsia="zh-CN"/>
              </w:rPr>
              <w:t xml:space="preserve"> 17 时</w:t>
            </w:r>
            <w:r>
              <w:rPr>
                <w:rFonts w:hint="eastAsia" w:ascii="宋体" w:hAnsi="宋体" w:eastAsia="宋体" w:cs="宋体"/>
                <w:b w:val="0"/>
                <w:bCs w:val="0"/>
                <w:color w:val="auto"/>
                <w:sz w:val="21"/>
                <w:szCs w:val="21"/>
                <w:highlight w:val="none"/>
              </w:rPr>
              <w:t>前通知各投标人领取书面澄清文件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2.2.3</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8" w:firstLineChars="104"/>
              <w:rPr>
                <w:rStyle w:val="40"/>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u w:val="none"/>
                <w:lang w:eastAsia="zh-CN"/>
              </w:rPr>
              <w:t>202</w:t>
            </w:r>
            <w:r>
              <w:rPr>
                <w:rFonts w:hint="eastAsia" w:ascii="宋体" w:hAnsi="宋体" w:eastAsia="宋体" w:cs="宋体"/>
                <w:b w:val="0"/>
                <w:bCs w:val="0"/>
                <w:color w:val="auto"/>
                <w:sz w:val="21"/>
                <w:szCs w:val="21"/>
                <w:highlight w:val="none"/>
                <w:u w:val="none"/>
                <w:lang w:val="en-US" w:eastAsia="zh-CN"/>
              </w:rPr>
              <w:t>3</w:t>
            </w:r>
            <w:r>
              <w:rPr>
                <w:rFonts w:hint="eastAsia" w:ascii="宋体" w:hAnsi="宋体" w:eastAsia="宋体" w:cs="宋体"/>
                <w:b w:val="0"/>
                <w:bCs w:val="0"/>
                <w:color w:val="auto"/>
                <w:sz w:val="21"/>
                <w:szCs w:val="21"/>
                <w:highlight w:val="none"/>
                <w:u w:val="none"/>
                <w:lang w:eastAsia="zh-CN"/>
              </w:rPr>
              <w:t>年</w:t>
            </w:r>
            <w:r>
              <w:rPr>
                <w:rFonts w:hint="eastAsia" w:ascii="宋体" w:hAnsi="宋体" w:eastAsia="宋体" w:cs="宋体"/>
                <w:b w:val="0"/>
                <w:bCs w:val="0"/>
                <w:color w:val="auto"/>
                <w:sz w:val="21"/>
                <w:szCs w:val="21"/>
                <w:highlight w:val="none"/>
                <w:u w:val="none"/>
                <w:lang w:val="en-US" w:eastAsia="zh-CN"/>
              </w:rPr>
              <w:t xml:space="preserve"> 6 </w:t>
            </w:r>
            <w:r>
              <w:rPr>
                <w:rFonts w:hint="eastAsia" w:ascii="宋体" w:hAnsi="宋体" w:eastAsia="宋体" w:cs="宋体"/>
                <w:b w:val="0"/>
                <w:bCs w:val="0"/>
                <w:color w:val="auto"/>
                <w:sz w:val="21"/>
                <w:szCs w:val="21"/>
                <w:highlight w:val="none"/>
                <w:u w:val="none"/>
                <w:lang w:eastAsia="zh-CN"/>
              </w:rPr>
              <w:t>月</w:t>
            </w:r>
            <w:r>
              <w:rPr>
                <w:rFonts w:hint="eastAsia" w:ascii="宋体" w:hAnsi="宋体" w:eastAsia="宋体" w:cs="宋体"/>
                <w:b w:val="0"/>
                <w:bCs w:val="0"/>
                <w:color w:val="auto"/>
                <w:sz w:val="21"/>
                <w:szCs w:val="21"/>
                <w:highlight w:val="none"/>
                <w:u w:val="none"/>
                <w:lang w:val="en-US" w:eastAsia="zh-CN"/>
              </w:rPr>
              <w:t xml:space="preserve">28 </w:t>
            </w:r>
            <w:r>
              <w:rPr>
                <w:rFonts w:hint="eastAsia" w:ascii="宋体" w:hAnsi="宋体" w:eastAsia="宋体" w:cs="宋体"/>
                <w:b w:val="0"/>
                <w:bCs w:val="0"/>
                <w:color w:val="auto"/>
                <w:sz w:val="21"/>
                <w:szCs w:val="21"/>
                <w:highlight w:val="none"/>
                <w:u w:val="none"/>
                <w:lang w:eastAsia="zh-CN"/>
              </w:rPr>
              <w:t xml:space="preserve">日 </w:t>
            </w:r>
            <w:r>
              <w:rPr>
                <w:rFonts w:hint="eastAsia" w:ascii="宋体" w:hAnsi="宋体" w:eastAsia="宋体" w:cs="宋体"/>
                <w:b w:val="0"/>
                <w:bCs w:val="0"/>
                <w:color w:val="auto"/>
                <w:sz w:val="21"/>
                <w:szCs w:val="21"/>
                <w:highlight w:val="none"/>
                <w:u w:val="none"/>
                <w:lang w:val="en-US" w:eastAsia="zh-CN"/>
              </w:rPr>
              <w:t>9</w:t>
            </w:r>
            <w:r>
              <w:rPr>
                <w:rFonts w:hint="eastAsia" w:ascii="宋体" w:hAnsi="宋体" w:eastAsia="宋体" w:cs="宋体"/>
                <w:b w:val="0"/>
                <w:bCs w:val="0"/>
                <w:color w:val="auto"/>
                <w:sz w:val="21"/>
                <w:szCs w:val="21"/>
                <w:highlight w:val="none"/>
                <w:u w:val="none"/>
                <w:lang w:eastAsia="zh-CN"/>
              </w:rPr>
              <w:t xml:space="preserve"> 时 </w:t>
            </w:r>
            <w:r>
              <w:rPr>
                <w:rFonts w:hint="eastAsia" w:ascii="宋体" w:hAnsi="宋体" w:eastAsia="宋体" w:cs="宋体"/>
                <w:b w:val="0"/>
                <w:bCs w:val="0"/>
                <w:color w:val="auto"/>
                <w:sz w:val="21"/>
                <w:szCs w:val="21"/>
                <w:highlight w:val="none"/>
                <w:u w:val="none"/>
                <w:lang w:val="en-US" w:eastAsia="zh-CN"/>
              </w:rPr>
              <w:t>0</w:t>
            </w:r>
            <w:r>
              <w:rPr>
                <w:rFonts w:hint="eastAsia" w:ascii="宋体" w:hAnsi="宋体" w:eastAsia="宋体" w:cs="宋体"/>
                <w:b w:val="0"/>
                <w:bCs w:val="0"/>
                <w:color w:val="auto"/>
                <w:sz w:val="21"/>
                <w:szCs w:val="21"/>
                <w:highlight w:val="none"/>
                <w:u w:val="none"/>
                <w:lang w:eastAsia="zh-CN"/>
              </w:rPr>
              <w:t>0分至</w:t>
            </w:r>
            <w:r>
              <w:rPr>
                <w:rFonts w:hint="eastAsia" w:ascii="宋体" w:hAnsi="宋体" w:eastAsia="宋体" w:cs="宋体"/>
                <w:b w:val="0"/>
                <w:bCs w:val="0"/>
                <w:color w:val="auto"/>
                <w:sz w:val="21"/>
                <w:szCs w:val="21"/>
                <w:highlight w:val="none"/>
                <w:u w:val="none"/>
                <w:lang w:val="en-US" w:eastAsia="zh-CN"/>
              </w:rPr>
              <w:t>9时30时</w:t>
            </w:r>
            <w:r>
              <w:rPr>
                <w:rFonts w:hint="eastAsia" w:ascii="宋体" w:hAnsi="宋体" w:eastAsia="宋体" w:cs="宋体"/>
                <w:b w:val="0"/>
                <w:bCs w:val="0"/>
                <w:color w:val="auto"/>
                <w:sz w:val="21"/>
                <w:szCs w:val="21"/>
                <w:highlight w:val="none"/>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3.1.1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构成</w:t>
            </w:r>
            <w:r>
              <w:rPr>
                <w:rStyle w:val="40"/>
                <w:rFonts w:hint="eastAsia" w:ascii="宋体" w:hAnsi="宋体" w:eastAsia="宋体" w:cs="宋体"/>
                <w:color w:val="auto"/>
                <w:kern w:val="0"/>
                <w:sz w:val="21"/>
                <w:szCs w:val="21"/>
                <w:highlight w:val="none"/>
                <w:lang w:eastAsia="zh-CN"/>
              </w:rPr>
              <w:t>投标文件</w:t>
            </w:r>
            <w:r>
              <w:rPr>
                <w:rStyle w:val="40"/>
                <w:rFonts w:hint="eastAsia" w:ascii="宋体" w:hAnsi="宋体" w:eastAsia="宋体" w:cs="宋体"/>
                <w:color w:val="auto"/>
                <w:kern w:val="0"/>
                <w:sz w:val="21"/>
                <w:szCs w:val="21"/>
                <w:highlight w:val="none"/>
              </w:rPr>
              <w:t>的其他材料</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8" w:firstLineChars="104"/>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投标人的书面澄清、说明和补正（但不得改变</w:t>
            </w:r>
            <w:r>
              <w:rPr>
                <w:rStyle w:val="40"/>
                <w:rFonts w:hint="eastAsia" w:ascii="宋体" w:hAnsi="宋体" w:eastAsia="宋体" w:cs="宋体"/>
                <w:color w:val="auto"/>
                <w:sz w:val="21"/>
                <w:szCs w:val="21"/>
                <w:highlight w:val="none"/>
                <w:lang w:eastAsia="zh-CN"/>
              </w:rPr>
              <w:t>投标文件</w:t>
            </w:r>
            <w:r>
              <w:rPr>
                <w:rStyle w:val="40"/>
                <w:rFonts w:hint="eastAsia" w:ascii="宋体" w:hAnsi="宋体" w:eastAsia="宋体" w:cs="宋体"/>
                <w:color w:val="auto"/>
                <w:sz w:val="21"/>
                <w:szCs w:val="21"/>
                <w:highlight w:val="none"/>
              </w:rPr>
              <w:t>的实质性内容）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0" w:firstLineChars="0"/>
              <w:jc w:val="center"/>
              <w:rPr>
                <w:rStyle w:val="40"/>
                <w:rFonts w:hint="default" w:ascii="宋体" w:hAnsi="宋体" w:eastAsia="宋体" w:cs="宋体"/>
                <w:bCs/>
                <w:color w:val="auto"/>
                <w:sz w:val="21"/>
                <w:szCs w:val="21"/>
                <w:highlight w:val="none"/>
                <w:lang w:val="en-US" w:eastAsia="zh-CN"/>
              </w:rPr>
            </w:pPr>
            <w:r>
              <w:rPr>
                <w:rStyle w:val="40"/>
                <w:rFonts w:hint="eastAsia" w:ascii="宋体" w:hAnsi="宋体" w:eastAsia="宋体" w:cs="宋体"/>
                <w:bCs/>
                <w:color w:val="auto"/>
                <w:sz w:val="21"/>
                <w:szCs w:val="21"/>
                <w:highlight w:val="none"/>
              </w:rPr>
              <w:t>3.2</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投标报价</w:t>
            </w:r>
          </w:p>
        </w:tc>
        <w:tc>
          <w:tcPr>
            <w:tcW w:w="65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ind w:firstLine="415" w:firstLineChars="198"/>
              <w:rPr>
                <w:rFonts w:hint="eastAsia" w:ascii="Times New Roman" w:hAnsi="Times New Roman" w:eastAsia="宋体" w:cs="Times New Roman"/>
                <w:color w:val="auto"/>
                <w:highlight w:val="none"/>
              </w:rPr>
            </w:pPr>
            <w:r>
              <w:rPr>
                <w:rFonts w:hint="eastAsia"/>
                <w:color w:val="auto"/>
                <w:highlight w:val="none"/>
                <w:lang w:val="en-US" w:eastAsia="zh-CN"/>
              </w:rPr>
              <w:t>1.</w:t>
            </w:r>
            <w:r>
              <w:rPr>
                <w:rFonts w:hint="eastAsia"/>
                <w:color w:val="auto"/>
                <w:highlight w:val="none"/>
              </w:rPr>
              <w:t>本项目采用费率包干的方式</w:t>
            </w:r>
            <w:r>
              <w:rPr>
                <w:rFonts w:hint="eastAsia"/>
                <w:color w:val="auto"/>
                <w:highlight w:val="none"/>
                <w:lang w:eastAsia="zh-CN"/>
              </w:rPr>
              <w:t>。</w:t>
            </w:r>
            <w:r>
              <w:rPr>
                <w:rFonts w:hint="eastAsia"/>
                <w:color w:val="auto"/>
                <w:highlight w:val="none"/>
              </w:rPr>
              <w:t>投标方所报的价格包含为完成本招标文件约定的工作内容的全部报酬。投标报价视为已包括了</w:t>
            </w:r>
            <w:r>
              <w:rPr>
                <w:rFonts w:hint="eastAsia" w:ascii="宋体" w:hAnsi="宋体"/>
                <w:color w:val="auto"/>
                <w:szCs w:val="21"/>
                <w:highlight w:val="none"/>
              </w:rPr>
              <w:t>完成该工程所需的人工、材料、机械、检验试验、缺陷修复、管理、保险、利润、规费、税金等</w:t>
            </w:r>
            <w:r>
              <w:rPr>
                <w:rFonts w:hint="eastAsia" w:ascii="宋体" w:hAnsi="宋体"/>
                <w:color w:val="auto"/>
                <w:szCs w:val="21"/>
                <w:highlight w:val="none"/>
                <w:lang w:val="en-US" w:eastAsia="zh-CN"/>
              </w:rPr>
              <w:t>一切</w:t>
            </w:r>
            <w:r>
              <w:rPr>
                <w:rFonts w:hint="eastAsia" w:ascii="宋体" w:hAnsi="宋体"/>
                <w:color w:val="auto"/>
                <w:szCs w:val="21"/>
                <w:highlight w:val="none"/>
              </w:rPr>
              <w:t>费用，以及本招标</w:t>
            </w:r>
            <w:r>
              <w:rPr>
                <w:rFonts w:hint="eastAsia" w:ascii="宋体" w:hAnsi="宋体"/>
                <w:color w:val="auto"/>
                <w:szCs w:val="21"/>
                <w:highlight w:val="none"/>
                <w:lang w:eastAsia="zh-CN"/>
              </w:rPr>
              <w:t>文件</w:t>
            </w:r>
            <w:r>
              <w:rPr>
                <w:rFonts w:hint="eastAsia" w:ascii="宋体" w:hAnsi="宋体"/>
                <w:color w:val="auto"/>
                <w:szCs w:val="21"/>
                <w:highlight w:val="none"/>
              </w:rPr>
              <w:t>中明示或暗示的所有一切风险、责任和义务等应由招标人支付的费用，以及本招标文件中明示或暗示的所有一切风险、责任和义务等应由招标人支付的费用</w:t>
            </w:r>
            <w:r>
              <w:rPr>
                <w:rFonts w:hint="eastAsia" w:ascii="Times New Roman" w:hAnsi="Times New Roman" w:eastAsia="宋体" w:cs="Times New Roman"/>
                <w:color w:val="auto"/>
                <w:highlight w:val="none"/>
              </w:rPr>
              <w:t>；</w:t>
            </w:r>
          </w:p>
          <w:p>
            <w:pPr>
              <w:autoSpaceDE w:val="0"/>
              <w:autoSpaceDN w:val="0"/>
              <w:adjustRightInd w:val="0"/>
              <w:snapToGrid w:val="0"/>
              <w:spacing w:line="360" w:lineRule="auto"/>
              <w:ind w:firstLine="415" w:firstLineChars="198"/>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rPr>
              <w:t>本招标</w:t>
            </w:r>
            <w:r>
              <w:rPr>
                <w:rFonts w:hint="eastAsia" w:ascii="Times New Roman" w:hAnsi="Times New Roman" w:eastAsia="宋体" w:cs="Times New Roman"/>
                <w:color w:val="auto"/>
                <w:highlight w:val="none"/>
                <w:lang w:val="en-US" w:eastAsia="zh-CN"/>
              </w:rPr>
              <w:t>项目将设置最高限价：本信息智能化系统工程暂定工程费用为：2020.8万元，最高限价为在暂定工程费用基础上下浮12%，即信息智能化系统工程专业分包工程最高限价为：1778.3</w:t>
            </w:r>
            <w:r>
              <w:rPr>
                <w:rFonts w:hint="eastAsia" w:ascii="Times New Roman" w:hAnsi="Times New Roman" w:eastAsia="宋体" w:cs="Times New Roman"/>
                <w:color w:val="auto"/>
                <w:highlight w:val="none"/>
              </w:rPr>
              <w:t>万元</w:t>
            </w:r>
            <w:r>
              <w:rPr>
                <w:rFonts w:hint="eastAsia" w:ascii="Times New Roman" w:hAnsi="Times New Roman" w:eastAsia="宋体" w:cs="Times New Roman"/>
                <w:color w:val="auto"/>
                <w:highlight w:val="none"/>
                <w:lang w:eastAsia="zh-CN"/>
              </w:rPr>
              <w:t>。</w:t>
            </w:r>
          </w:p>
          <w:p>
            <w:pPr>
              <w:autoSpaceDE w:val="0"/>
              <w:autoSpaceDN w:val="0"/>
              <w:adjustRightInd w:val="0"/>
              <w:snapToGrid w:val="0"/>
              <w:spacing w:line="360" w:lineRule="auto"/>
              <w:ind w:firstLine="415" w:firstLineChars="198"/>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各投标人的投标</w:t>
            </w:r>
            <w:r>
              <w:rPr>
                <w:rFonts w:hint="eastAsia" w:ascii="Times New Roman" w:hAnsi="Times New Roman" w:eastAsia="宋体" w:cs="Times New Roman"/>
                <w:color w:val="auto"/>
                <w:highlight w:val="none"/>
                <w:lang w:val="en-US" w:eastAsia="zh-CN"/>
              </w:rPr>
              <w:t>下浮率</w:t>
            </w:r>
            <w:r>
              <w:rPr>
                <w:rFonts w:hint="eastAsia" w:ascii="Times New Roman" w:hAnsi="Times New Roman" w:eastAsia="宋体" w:cs="Times New Roman"/>
                <w:color w:val="auto"/>
                <w:highlight w:val="none"/>
              </w:rPr>
              <w:t>不得低于（含等于）招标人公布的</w:t>
            </w:r>
            <w:r>
              <w:rPr>
                <w:rFonts w:hint="eastAsia" w:ascii="Times New Roman" w:hAnsi="Times New Roman" w:eastAsia="宋体" w:cs="Times New Roman"/>
                <w:color w:val="auto"/>
                <w:highlight w:val="none"/>
                <w:lang w:val="en-US" w:eastAsia="zh-CN"/>
              </w:rPr>
              <w:t>下浮率</w:t>
            </w: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且相应的投标总报价不得超过招标人公布的最高限价，</w:t>
            </w:r>
            <w:r>
              <w:rPr>
                <w:rFonts w:hint="eastAsia" w:ascii="Times New Roman" w:hAnsi="Times New Roman" w:eastAsia="宋体" w:cs="Times New Roman"/>
                <w:color w:val="auto"/>
                <w:highlight w:val="none"/>
              </w:rPr>
              <w:t>否则，将被认定为废标。</w:t>
            </w:r>
          </w:p>
          <w:p>
            <w:pPr>
              <w:tabs>
                <w:tab w:val="left" w:pos="1080"/>
                <w:tab w:val="left" w:pos="1155"/>
              </w:tabs>
              <w:spacing w:line="360" w:lineRule="auto"/>
              <w:ind w:right="27" w:rightChars="13" w:firstLine="420" w:firstLineChars="200"/>
              <w:jc w:val="left"/>
              <w:rPr>
                <w:rFonts w:hint="eastAsia" w:ascii="宋体" w:hAnsi="宋体" w:eastAsia="宋体" w:cs="宋体"/>
                <w:b w:val="0"/>
                <w:bCs w:val="0"/>
                <w:color w:val="auto"/>
                <w:sz w:val="21"/>
                <w:szCs w:val="21"/>
                <w:highlight w:val="none"/>
              </w:rPr>
            </w:pPr>
            <w:r>
              <w:rPr>
                <w:rFonts w:hint="eastAsia" w:ascii="Times New Roman" w:hAnsi="Times New Roman" w:eastAsia="宋体" w:cs="Times New Roman"/>
                <w:color w:val="auto"/>
                <w:highlight w:val="none"/>
                <w:lang w:val="en-US" w:eastAsia="zh-CN"/>
              </w:rPr>
              <w:t>3.</w:t>
            </w:r>
            <w:r>
              <w:rPr>
                <w:rFonts w:hint="eastAsia" w:ascii="Times New Roman" w:hAnsi="Times New Roman" w:eastAsia="宋体" w:cs="Times New Roman"/>
                <w:color w:val="auto"/>
                <w:highlight w:val="none"/>
              </w:rPr>
              <w:t>报价方式：自主填报工程费</w:t>
            </w:r>
            <w:r>
              <w:rPr>
                <w:rFonts w:hint="eastAsia" w:ascii="Times New Roman" w:hAnsi="Times New Roman" w:eastAsia="宋体" w:cs="Times New Roman"/>
                <w:color w:val="auto"/>
                <w:highlight w:val="none"/>
                <w:lang w:val="en-US" w:eastAsia="zh-CN"/>
              </w:rPr>
              <w:t>投标报价下浮比例</w:t>
            </w: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本项目</w:t>
            </w:r>
            <w:r>
              <w:rPr>
                <w:rFonts w:hint="eastAsia" w:ascii="Times New Roman" w:hAnsi="Times New Roman" w:eastAsia="宋体" w:cs="Times New Roman"/>
                <w:color w:val="auto"/>
                <w:highlight w:val="none"/>
              </w:rPr>
              <w:t>暂定建筑安装工程费</w:t>
            </w:r>
            <w:r>
              <w:rPr>
                <w:rFonts w:hint="eastAsia" w:ascii="Times New Roman" w:hAnsi="Times New Roman" w:eastAsia="宋体" w:cs="Times New Roman"/>
                <w:color w:val="auto"/>
                <w:highlight w:val="none"/>
                <w:lang w:val="en-US" w:eastAsia="zh-CN"/>
              </w:rPr>
              <w:t>投标</w:t>
            </w:r>
            <w:r>
              <w:rPr>
                <w:rFonts w:hint="eastAsia" w:ascii="Times New Roman" w:hAnsi="Times New Roman" w:eastAsia="宋体" w:cs="Times New Roman"/>
                <w:color w:val="auto"/>
                <w:highlight w:val="none"/>
              </w:rPr>
              <w:t>报价：投标时暂按</w:t>
            </w:r>
            <w:r>
              <w:rPr>
                <w:rFonts w:hint="eastAsia" w:ascii="Times New Roman" w:hAnsi="Times New Roman" w:eastAsia="宋体" w:cs="Times New Roman"/>
                <w:color w:val="auto"/>
                <w:highlight w:val="none"/>
                <w:lang w:val="en-US" w:eastAsia="zh-CN"/>
              </w:rPr>
              <w:t>2020.8</w:t>
            </w:r>
            <w:r>
              <w:rPr>
                <w:rFonts w:hint="eastAsia" w:ascii="Times New Roman" w:hAnsi="Times New Roman" w:eastAsia="宋体" w:cs="Times New Roman"/>
                <w:color w:val="auto"/>
                <w:highlight w:val="none"/>
              </w:rPr>
              <w:t>万元×</w:t>
            </w:r>
            <w:r>
              <w:rPr>
                <w:rFonts w:hint="eastAsia" w:ascii="宋体" w:hAnsi="宋体"/>
                <w:snapToGrid w:val="0"/>
                <w:color w:val="auto"/>
                <w:kern w:val="0"/>
                <w:szCs w:val="21"/>
                <w:highlight w:val="none"/>
              </w:rPr>
              <w:t>（1-投标报价下浮比例）</w:t>
            </w:r>
            <w:r>
              <w:rPr>
                <w:rFonts w:hint="eastAsia" w:ascii="Times New Roman" w:hAnsi="Times New Roman" w:eastAsia="宋体" w:cs="Times New Roman"/>
                <w:color w:val="auto"/>
                <w:highlight w:val="none"/>
              </w:rPr>
              <w:t>，此计算仅作为投标评标依据。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3.3.1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投标有效期</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lang w:val="en-US" w:eastAsia="zh-CN"/>
              </w:rPr>
              <w:t>90</w:t>
            </w:r>
            <w:r>
              <w:rPr>
                <w:rStyle w:val="40"/>
                <w:rFonts w:hint="eastAsia" w:ascii="宋体" w:hAnsi="宋体" w:eastAsia="宋体" w:cs="宋体"/>
                <w:color w:val="auto"/>
                <w:sz w:val="21"/>
                <w:szCs w:val="21"/>
                <w:highlight w:val="none"/>
              </w:rPr>
              <w:t>日历天（从提交</w:t>
            </w:r>
            <w:r>
              <w:rPr>
                <w:rStyle w:val="40"/>
                <w:rFonts w:hint="eastAsia" w:ascii="宋体" w:hAnsi="宋体" w:eastAsia="宋体" w:cs="宋体"/>
                <w:color w:val="auto"/>
                <w:sz w:val="21"/>
                <w:szCs w:val="21"/>
                <w:highlight w:val="none"/>
                <w:lang w:eastAsia="zh-CN"/>
              </w:rPr>
              <w:t>投标文件</w:t>
            </w:r>
            <w:r>
              <w:rPr>
                <w:rStyle w:val="40"/>
                <w:rFonts w:hint="eastAsia" w:ascii="宋体" w:hAnsi="宋体" w:eastAsia="宋体" w:cs="宋体"/>
                <w:color w:val="auto"/>
                <w:sz w:val="21"/>
                <w:szCs w:val="21"/>
                <w:highlight w:val="none"/>
              </w:rPr>
              <w:t>截止日起计算）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3.7.3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签字盖章要求</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凡应盖法人章和法定代表人印章的，均加盖鲜章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3.7.4</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lang w:eastAsia="zh-CN"/>
              </w:rPr>
              <w:t>投标文件</w:t>
            </w:r>
            <w:r>
              <w:rPr>
                <w:rStyle w:val="40"/>
                <w:rFonts w:hint="eastAsia" w:ascii="宋体" w:hAnsi="宋体" w:eastAsia="宋体" w:cs="宋体"/>
                <w:color w:val="auto"/>
                <w:kern w:val="0"/>
                <w:sz w:val="21"/>
                <w:szCs w:val="21"/>
                <w:highlight w:val="none"/>
              </w:rPr>
              <w:t>的</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份数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color w:val="auto"/>
                <w:highlight w:val="none"/>
                <w:lang w:val="zh-CN"/>
              </w:rPr>
              <w:t>投标函部分（</w:t>
            </w:r>
            <w:r>
              <w:rPr>
                <w:rFonts w:hint="eastAsia"/>
                <w:color w:val="auto"/>
                <w:highlight w:val="none"/>
                <w:lang w:val="en-US" w:eastAsia="zh-CN"/>
              </w:rPr>
              <w:t>含资格审查资料</w:t>
            </w:r>
            <w:r>
              <w:rPr>
                <w:rFonts w:hint="eastAsia"/>
                <w:color w:val="auto"/>
                <w:highlight w:val="none"/>
                <w:lang w:val="zh-CN"/>
              </w:rPr>
              <w:t>）</w:t>
            </w:r>
            <w:r>
              <w:rPr>
                <w:rFonts w:hint="eastAsia" w:ascii="宋体" w:hAnsi="宋体" w:eastAsia="宋体" w:cs="宋体"/>
                <w:color w:val="auto"/>
                <w:sz w:val="21"/>
                <w:szCs w:val="21"/>
                <w:highlight w:val="none"/>
              </w:rPr>
              <w:t>：一式</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份（正本一份、副本</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份）；</w:t>
            </w:r>
          </w:p>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2、技术部分：一式</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份（不分正副本）；</w:t>
            </w:r>
          </w:p>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当副本和正本不一致时，以正本为准。否则由</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3.7.5</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装订要求</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color w:val="auto"/>
                <w:highlight w:val="none"/>
                <w:lang w:val="zh-CN"/>
              </w:rPr>
            </w:pPr>
            <w:r>
              <w:rPr>
                <w:rFonts w:hint="eastAsia"/>
                <w:color w:val="auto"/>
                <w:highlight w:val="none"/>
                <w:lang w:val="zh-CN"/>
              </w:rPr>
              <w:t>1</w:t>
            </w:r>
            <w:r>
              <w:rPr>
                <w:rFonts w:hint="eastAsia"/>
                <w:color w:val="auto"/>
                <w:highlight w:val="none"/>
              </w:rPr>
              <w:t>.</w:t>
            </w:r>
            <w:r>
              <w:rPr>
                <w:rFonts w:hint="eastAsia"/>
                <w:color w:val="auto"/>
                <w:highlight w:val="none"/>
                <w:lang w:val="zh-CN"/>
              </w:rPr>
              <w:t>本工程应将投标函部分（</w:t>
            </w:r>
            <w:r>
              <w:rPr>
                <w:rFonts w:hint="eastAsia"/>
                <w:color w:val="auto"/>
                <w:highlight w:val="none"/>
                <w:lang w:val="en-US" w:eastAsia="zh-CN"/>
              </w:rPr>
              <w:t>含资格审查资料</w:t>
            </w:r>
            <w:r>
              <w:rPr>
                <w:rFonts w:hint="eastAsia"/>
                <w:color w:val="auto"/>
                <w:highlight w:val="none"/>
                <w:lang w:val="zh-CN"/>
              </w:rPr>
              <w:t>）、技术部分各自分别装订成册</w:t>
            </w:r>
            <w:r>
              <w:rPr>
                <w:rFonts w:hint="eastAsia"/>
                <w:color w:val="auto"/>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color w:val="auto"/>
                <w:highlight w:val="none"/>
                <w:lang w:val="zh-CN"/>
              </w:rPr>
            </w:pPr>
            <w:r>
              <w:rPr>
                <w:rFonts w:hint="eastAsia"/>
                <w:color w:val="auto"/>
                <w:highlight w:val="none"/>
                <w:lang w:val="zh-CN"/>
              </w:rPr>
              <w:t>2</w:t>
            </w:r>
            <w:r>
              <w:rPr>
                <w:rFonts w:hint="eastAsia"/>
                <w:color w:val="auto"/>
                <w:highlight w:val="none"/>
              </w:rPr>
              <w:t>.</w:t>
            </w:r>
            <w:r>
              <w:rPr>
                <w:rFonts w:hint="eastAsia"/>
                <w:color w:val="auto"/>
                <w:highlight w:val="none"/>
                <w:lang w:val="zh-CN"/>
              </w:rPr>
              <w:t>装订</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color w:val="auto"/>
                <w:highlight w:val="none"/>
                <w:lang w:val="zh-CN"/>
              </w:rPr>
            </w:pPr>
            <w:r>
              <w:rPr>
                <w:rFonts w:hint="eastAsia"/>
                <w:color w:val="auto"/>
                <w:highlight w:val="none"/>
                <w:lang w:val="zh-CN"/>
              </w:rPr>
              <w:t>（1）投标函部分（</w:t>
            </w:r>
            <w:r>
              <w:rPr>
                <w:rFonts w:hint="eastAsia"/>
                <w:color w:val="auto"/>
                <w:highlight w:val="none"/>
                <w:lang w:val="en-US" w:eastAsia="zh-CN"/>
              </w:rPr>
              <w:t>含资格审查资料</w:t>
            </w:r>
            <w:r>
              <w:rPr>
                <w:rFonts w:hint="eastAsia"/>
                <w:color w:val="auto"/>
                <w:highlight w:val="none"/>
                <w:lang w:val="zh-CN"/>
              </w:rPr>
              <w:t>）的装订要求</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color w:val="auto"/>
                <w:highlight w:val="none"/>
                <w:lang w:val="zh-CN"/>
              </w:rPr>
            </w:pPr>
            <w:r>
              <w:rPr>
                <w:rFonts w:hint="eastAsia"/>
                <w:color w:val="auto"/>
                <w:highlight w:val="none"/>
                <w:lang w:val="zh-CN"/>
              </w:rPr>
              <w:t>应按照第</w:t>
            </w:r>
            <w:r>
              <w:rPr>
                <w:rFonts w:hint="eastAsia"/>
                <w:color w:val="auto"/>
                <w:highlight w:val="none"/>
                <w:lang w:val="en-US" w:eastAsia="zh-CN"/>
              </w:rPr>
              <w:t>六</w:t>
            </w:r>
            <w:r>
              <w:rPr>
                <w:rFonts w:hint="eastAsia"/>
                <w:color w:val="auto"/>
                <w:highlight w:val="none"/>
                <w:lang w:val="zh-CN"/>
              </w:rPr>
              <w:t>章规定格式装订成册，并应编制目录，标注页码。</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Fonts w:hint="eastAsia"/>
                <w:color w:val="auto"/>
                <w:highlight w:val="none"/>
              </w:rPr>
            </w:pPr>
            <w:r>
              <w:rPr>
                <w:rFonts w:hint="eastAsia"/>
                <w:color w:val="auto"/>
                <w:highlight w:val="none"/>
              </w:rPr>
              <w:t>（2）技术部分的装订要求</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Fonts w:hint="eastAsia"/>
                <w:color w:val="auto"/>
                <w:highlight w:val="none"/>
              </w:rPr>
            </w:pPr>
            <w:r>
              <w:rPr>
                <w:rFonts w:hint="eastAsia"/>
                <w:color w:val="auto"/>
                <w:highlight w:val="none"/>
              </w:rPr>
              <w:t>《</w:t>
            </w:r>
            <w:r>
              <w:rPr>
                <w:rFonts w:hint="eastAsia"/>
                <w:color w:val="auto"/>
                <w:highlight w:val="none"/>
                <w:lang w:eastAsia="zh-CN"/>
              </w:rPr>
              <w:t>技术方案</w:t>
            </w:r>
            <w:r>
              <w:rPr>
                <w:rFonts w:hint="eastAsia"/>
                <w:color w:val="auto"/>
                <w:highlight w:val="none"/>
              </w:rPr>
              <w:t>》面页使用A4厚型白纸面页，用初号仿宋字体居中标明 “</w:t>
            </w:r>
            <w:r>
              <w:rPr>
                <w:rFonts w:hint="eastAsia"/>
                <w:color w:val="auto"/>
                <w:highlight w:val="none"/>
                <w:lang w:eastAsia="zh-CN"/>
              </w:rPr>
              <w:t>技术方案</w:t>
            </w:r>
            <w:r>
              <w:rPr>
                <w:rFonts w:hint="eastAsia"/>
                <w:color w:val="auto"/>
                <w:highlight w:val="none"/>
              </w:rPr>
              <w:t>”；在页面右下角加盖投标单位章后沿密封线折叠成腰约10cm左右的等腰直角三角形密封；面页除了“</w:t>
            </w:r>
            <w:r>
              <w:rPr>
                <w:rFonts w:hint="eastAsia"/>
                <w:color w:val="auto"/>
                <w:highlight w:val="none"/>
                <w:lang w:eastAsia="zh-CN"/>
              </w:rPr>
              <w:t>技术方案</w:t>
            </w:r>
            <w:r>
              <w:rPr>
                <w:rFonts w:hint="eastAsia"/>
                <w:color w:val="auto"/>
                <w:highlight w:val="none"/>
              </w:rPr>
              <w:t>”四字和右下角密封处印章外不得有其他印记；密封后的面页及整个《</w:t>
            </w:r>
            <w:r>
              <w:rPr>
                <w:rFonts w:hint="eastAsia"/>
                <w:color w:val="auto"/>
                <w:highlight w:val="none"/>
                <w:lang w:eastAsia="zh-CN"/>
              </w:rPr>
              <w:t>技术方案</w:t>
            </w:r>
            <w:r>
              <w:rPr>
                <w:rFonts w:hint="eastAsia"/>
                <w:color w:val="auto"/>
                <w:highlight w:val="none"/>
              </w:rPr>
              <w:t>》均不得出现白页、残页和倒页，不得显示与投标人企业有关的任何信息及与本工程无关内容；《</w:t>
            </w:r>
            <w:r>
              <w:rPr>
                <w:rFonts w:hint="eastAsia"/>
                <w:color w:val="auto"/>
                <w:highlight w:val="none"/>
                <w:lang w:eastAsia="zh-CN"/>
              </w:rPr>
              <w:t>技术方案</w:t>
            </w:r>
            <w:r>
              <w:rPr>
                <w:rFonts w:hint="eastAsia"/>
                <w:color w:val="auto"/>
                <w:highlight w:val="none"/>
              </w:rPr>
              <w:t>》文字部分纸张采用A4白纸，四号仿宋字体；图表采用A4或A3白纸，图表内的字体、字号大小不限；文字、图表不得使用彩色和不得编制页码。违反上述任何一项，其投标文件《</w:t>
            </w:r>
            <w:r>
              <w:rPr>
                <w:rFonts w:hint="eastAsia"/>
                <w:color w:val="auto"/>
                <w:highlight w:val="none"/>
                <w:lang w:eastAsia="zh-CN"/>
              </w:rPr>
              <w:t>技术方案</w:t>
            </w:r>
            <w:r>
              <w:rPr>
                <w:rFonts w:hint="eastAsia"/>
                <w:color w:val="auto"/>
                <w:highlight w:val="none"/>
              </w:rPr>
              <w:t>》部分为零分。</w:t>
            </w:r>
          </w:p>
          <w:p>
            <w:pPr>
              <w:pStyle w:val="2"/>
              <w:rPr>
                <w:rFonts w:hint="eastAsia"/>
                <w:color w:val="auto"/>
                <w:highlight w:val="none"/>
              </w:rPr>
            </w:pPr>
            <w:r>
              <w:rPr>
                <w:color w:val="auto"/>
                <w:sz w:val="22"/>
                <w:highlight w:val="none"/>
              </w:rPr>
              <w:t>注：</w:t>
            </w:r>
            <w:r>
              <w:rPr>
                <w:rFonts w:hint="eastAsia" w:ascii="宋体" w:hAnsi="宋体"/>
                <w:color w:val="auto"/>
                <w:szCs w:val="21"/>
                <w:highlight w:val="none"/>
              </w:rPr>
              <w:t>《</w:t>
            </w:r>
            <w:r>
              <w:rPr>
                <w:rFonts w:hint="eastAsia" w:ascii="宋体" w:hAnsi="宋体"/>
                <w:color w:val="auto"/>
                <w:szCs w:val="21"/>
                <w:highlight w:val="none"/>
                <w:lang w:eastAsia="zh-CN"/>
              </w:rPr>
              <w:t>技术方案</w:t>
            </w:r>
            <w:r>
              <w:rPr>
                <w:rFonts w:hint="eastAsia" w:ascii="宋体" w:hAnsi="宋体"/>
                <w:color w:val="auto"/>
                <w:szCs w:val="21"/>
                <w:highlight w:val="none"/>
              </w:rPr>
              <w:t>》</w:t>
            </w:r>
            <w:r>
              <w:rPr>
                <w:rFonts w:hint="eastAsia" w:ascii="宋体" w:hAnsi="宋体"/>
                <w:color w:val="auto"/>
                <w:szCs w:val="21"/>
                <w:highlight w:val="none"/>
                <w:lang w:val="en-US" w:eastAsia="zh-CN"/>
              </w:rPr>
              <w:t>原则上</w:t>
            </w:r>
            <w:r>
              <w:rPr>
                <w:color w:val="auto"/>
                <w:sz w:val="22"/>
                <w:highlight w:val="none"/>
              </w:rPr>
              <w:t>不得超过</w:t>
            </w:r>
            <w:r>
              <w:rPr>
                <w:rFonts w:hint="eastAsia"/>
                <w:color w:val="auto"/>
                <w:sz w:val="22"/>
                <w:highlight w:val="none"/>
                <w:lang w:val="en-US" w:eastAsia="zh-CN"/>
              </w:rPr>
              <w:t>200</w:t>
            </w:r>
            <w:r>
              <w:rPr>
                <w:color w:val="auto"/>
                <w:sz w:val="22"/>
                <w:highlight w:val="none"/>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firstLine="210" w:firstLineChars="100"/>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4.1.1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lang w:eastAsia="zh-CN"/>
              </w:rPr>
              <w:t>投标文件</w:t>
            </w:r>
            <w:r>
              <w:rPr>
                <w:rStyle w:val="40"/>
                <w:rFonts w:hint="eastAsia" w:ascii="宋体" w:hAnsi="宋体" w:eastAsia="宋体" w:cs="宋体"/>
                <w:color w:val="auto"/>
                <w:kern w:val="0"/>
                <w:sz w:val="21"/>
                <w:szCs w:val="21"/>
                <w:highlight w:val="none"/>
              </w:rPr>
              <w:t>的</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密封</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1.投标文件袋用 “投标函部分”袋、“技术部分”袋以及“投标文件”大袋。</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2.投标函部分</w:t>
            </w:r>
            <w:r>
              <w:rPr>
                <w:rFonts w:hint="eastAsia"/>
                <w:color w:val="auto"/>
                <w:highlight w:val="none"/>
                <w:lang w:val="zh-CN"/>
              </w:rPr>
              <w:t>（</w:t>
            </w:r>
            <w:r>
              <w:rPr>
                <w:rFonts w:hint="eastAsia"/>
                <w:color w:val="auto"/>
                <w:highlight w:val="none"/>
                <w:lang w:val="en-US" w:eastAsia="zh-CN"/>
              </w:rPr>
              <w:t>含资格审查资料</w:t>
            </w:r>
            <w:r>
              <w:rPr>
                <w:rFonts w:hint="eastAsia"/>
                <w:color w:val="auto"/>
                <w:highlight w:val="none"/>
                <w:lang w:val="zh-CN"/>
              </w:rPr>
              <w:t>）</w:t>
            </w:r>
            <w:r>
              <w:rPr>
                <w:rFonts w:hint="eastAsia" w:ascii="宋体" w:hAnsi="宋体" w:eastAsia="宋体" w:cs="宋体"/>
                <w:color w:val="auto"/>
                <w:sz w:val="21"/>
                <w:szCs w:val="21"/>
                <w:highlight w:val="none"/>
                <w:lang w:val="zh-CN"/>
              </w:rPr>
              <w:t>装入“投标函部分”袋中，密封并在袋上加盖投标人单位章。</w:t>
            </w:r>
          </w:p>
          <w:p>
            <w:pPr>
              <w:pStyle w:val="2"/>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3.技术部分装入“技术部分”袋中密封不加盖投标人单位章。</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zh-CN"/>
              </w:rPr>
              <w:t>.“投标函部分”、“技术部分”等小袋装入“投标文件”大袋中，密封并在大袋上加盖投标人单位章，同时“投标文件”大袋应按本表第4.1.2项的规定写明相应内容。</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.如果“投标文件”大袋未按上述规定封装，招标人或招标代理机构应当拒绝接收。</w:t>
            </w:r>
          </w:p>
          <w:p>
            <w:pPr>
              <w:keepNext w:val="0"/>
              <w:keepLines w:val="0"/>
              <w:pageBreakBefore w:val="0"/>
              <w:kinsoku/>
              <w:wordWrap/>
              <w:overflowPunct/>
              <w:topLinePunct w:val="0"/>
              <w:bidi w:val="0"/>
              <w:spacing w:line="360" w:lineRule="auto"/>
              <w:ind w:left="214" w:leftChars="102" w:right="27" w:rightChars="13" w:firstLine="422" w:firstLineChars="201"/>
              <w:rPr>
                <w:rStyle w:val="40"/>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注：如</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较厚，上述各部分</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不能装入相应的一个袋中，投标人可按上述要求增加</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both"/>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 xml:space="preserve">     4.1.2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封套上写明</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应在“</w:t>
            </w:r>
            <w:r>
              <w:rPr>
                <w:rStyle w:val="40"/>
                <w:rFonts w:hint="eastAsia" w:ascii="宋体" w:hAnsi="宋体" w:eastAsia="宋体" w:cs="宋体"/>
                <w:color w:val="auto"/>
                <w:kern w:val="0"/>
                <w:sz w:val="21"/>
                <w:szCs w:val="21"/>
                <w:highlight w:val="none"/>
                <w:lang w:eastAsia="zh-CN"/>
              </w:rPr>
              <w:t>投标文件</w:t>
            </w:r>
            <w:r>
              <w:rPr>
                <w:rStyle w:val="40"/>
                <w:rFonts w:hint="eastAsia" w:ascii="宋体" w:hAnsi="宋体" w:eastAsia="宋体" w:cs="宋体"/>
                <w:color w:val="auto"/>
                <w:kern w:val="0"/>
                <w:sz w:val="21"/>
                <w:szCs w:val="21"/>
                <w:highlight w:val="none"/>
              </w:rPr>
              <w:t>”大袋封套上写明如下内容：</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招标人名称：</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lang w:eastAsia="zh-CN"/>
              </w:rPr>
              <w:t>投</w:t>
            </w:r>
            <w:r>
              <w:rPr>
                <w:rStyle w:val="40"/>
                <w:rFonts w:hint="eastAsia" w:ascii="宋体" w:hAnsi="宋体" w:eastAsia="宋体" w:cs="宋体"/>
                <w:color w:val="auto"/>
                <w:kern w:val="0"/>
                <w:sz w:val="21"/>
                <w:szCs w:val="21"/>
                <w:highlight w:val="none"/>
              </w:rPr>
              <w:t>标人名称：</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highlight w:val="none"/>
                <w:lang w:eastAsia="zh-CN"/>
              </w:rPr>
            </w:pPr>
            <w:r>
              <w:rPr>
                <w:rStyle w:val="40"/>
                <w:rFonts w:hint="eastAsia" w:ascii="宋体" w:hAnsi="宋体" w:eastAsia="宋体" w:cs="宋体"/>
                <w:color w:val="auto"/>
                <w:kern w:val="0"/>
                <w:sz w:val="21"/>
                <w:szCs w:val="21"/>
                <w:highlight w:val="none"/>
                <w:u w:val="single"/>
              </w:rPr>
              <w:t xml:space="preserve">    项目名称                  </w:t>
            </w:r>
            <w:r>
              <w:rPr>
                <w:rStyle w:val="40"/>
                <w:rFonts w:hint="eastAsia" w:ascii="宋体" w:hAnsi="宋体" w:eastAsia="宋体" w:cs="宋体"/>
                <w:color w:val="auto"/>
                <w:kern w:val="0"/>
                <w:sz w:val="21"/>
                <w:szCs w:val="21"/>
                <w:highlight w:val="none"/>
                <w:lang w:eastAsia="zh-CN"/>
              </w:rPr>
              <w:t>投标文件</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sz w:val="21"/>
                <w:szCs w:val="21"/>
                <w:highlight w:val="none"/>
              </w:rPr>
            </w:pPr>
            <w:r>
              <w:rPr>
                <w:rStyle w:val="40"/>
                <w:rFonts w:hint="eastAsia" w:ascii="宋体" w:hAnsi="宋体" w:eastAsia="宋体" w:cs="宋体"/>
                <w:color w:val="auto"/>
                <w:kern w:val="0"/>
                <w:sz w:val="21"/>
                <w:szCs w:val="21"/>
                <w:highlight w:val="none"/>
              </w:rPr>
              <w:t xml:space="preserve">在 </w:t>
            </w:r>
            <w:r>
              <w:rPr>
                <w:rStyle w:val="40"/>
                <w:rFonts w:hint="eastAsia" w:ascii="宋体" w:hAnsi="宋体" w:eastAsia="宋体" w:cs="宋体"/>
                <w:color w:val="auto"/>
                <w:kern w:val="0"/>
                <w:sz w:val="21"/>
                <w:szCs w:val="21"/>
                <w:highlight w:val="none"/>
                <w:lang w:val="en-US" w:eastAsia="zh-CN"/>
              </w:rPr>
              <w:t>2023</w:t>
            </w:r>
            <w:r>
              <w:rPr>
                <w:rStyle w:val="40"/>
                <w:rFonts w:hint="eastAsia" w:ascii="宋体" w:hAnsi="宋体" w:eastAsia="宋体" w:cs="宋体"/>
                <w:color w:val="auto"/>
                <w:kern w:val="0"/>
                <w:sz w:val="21"/>
                <w:szCs w:val="21"/>
                <w:highlight w:val="none"/>
              </w:rPr>
              <w:t xml:space="preserve"> 年</w:t>
            </w:r>
            <w:r>
              <w:rPr>
                <w:rStyle w:val="40"/>
                <w:rFonts w:hint="eastAsia" w:ascii="宋体" w:hAnsi="宋体" w:eastAsia="宋体" w:cs="宋体"/>
                <w:color w:val="auto"/>
                <w:kern w:val="0"/>
                <w:sz w:val="21"/>
                <w:szCs w:val="21"/>
                <w:highlight w:val="none"/>
                <w:lang w:val="en-US" w:eastAsia="zh-CN"/>
              </w:rPr>
              <w:t xml:space="preserve"> 6 </w:t>
            </w:r>
            <w:r>
              <w:rPr>
                <w:rStyle w:val="40"/>
                <w:rFonts w:hint="eastAsia" w:ascii="宋体" w:hAnsi="宋体" w:eastAsia="宋体" w:cs="宋体"/>
                <w:color w:val="auto"/>
                <w:kern w:val="0"/>
                <w:sz w:val="21"/>
                <w:szCs w:val="21"/>
                <w:highlight w:val="none"/>
              </w:rPr>
              <w:t xml:space="preserve">月 </w:t>
            </w:r>
            <w:r>
              <w:rPr>
                <w:rStyle w:val="40"/>
                <w:rFonts w:hint="eastAsia" w:ascii="宋体" w:hAnsi="宋体" w:eastAsia="宋体" w:cs="宋体"/>
                <w:color w:val="auto"/>
                <w:kern w:val="0"/>
                <w:sz w:val="21"/>
                <w:szCs w:val="21"/>
                <w:highlight w:val="none"/>
                <w:lang w:val="en-US" w:eastAsia="zh-CN"/>
              </w:rPr>
              <w:t xml:space="preserve"> 28</w:t>
            </w:r>
            <w:r>
              <w:rPr>
                <w:rStyle w:val="40"/>
                <w:rFonts w:hint="eastAsia" w:ascii="宋体" w:hAnsi="宋体" w:eastAsia="宋体" w:cs="宋体"/>
                <w:color w:val="auto"/>
                <w:kern w:val="0"/>
                <w:sz w:val="21"/>
                <w:szCs w:val="21"/>
                <w:highlight w:val="none"/>
              </w:rPr>
              <w:t xml:space="preserve"> 日</w:t>
            </w:r>
            <w:r>
              <w:rPr>
                <w:rStyle w:val="40"/>
                <w:rFonts w:hint="eastAsia" w:ascii="宋体" w:hAnsi="宋体" w:eastAsia="宋体" w:cs="宋体"/>
                <w:color w:val="auto"/>
                <w:kern w:val="0"/>
                <w:sz w:val="21"/>
                <w:szCs w:val="21"/>
                <w:highlight w:val="none"/>
                <w:lang w:val="en-US" w:eastAsia="zh-CN"/>
              </w:rPr>
              <w:t>9</w:t>
            </w:r>
            <w:r>
              <w:rPr>
                <w:rStyle w:val="40"/>
                <w:rFonts w:hint="eastAsia" w:ascii="宋体" w:hAnsi="宋体" w:eastAsia="宋体" w:cs="宋体"/>
                <w:color w:val="auto"/>
                <w:kern w:val="0"/>
                <w:sz w:val="21"/>
                <w:szCs w:val="21"/>
                <w:highlight w:val="none"/>
              </w:rPr>
              <w:t>时</w:t>
            </w:r>
            <w:r>
              <w:rPr>
                <w:rStyle w:val="40"/>
                <w:rFonts w:hint="eastAsia" w:ascii="宋体" w:hAnsi="宋体" w:eastAsia="宋体" w:cs="宋体"/>
                <w:color w:val="auto"/>
                <w:kern w:val="0"/>
                <w:sz w:val="21"/>
                <w:szCs w:val="21"/>
                <w:highlight w:val="none"/>
                <w:lang w:val="en-US" w:eastAsia="zh-CN"/>
              </w:rPr>
              <w:t>30</w:t>
            </w:r>
            <w:r>
              <w:rPr>
                <w:rStyle w:val="40"/>
                <w:rFonts w:hint="eastAsia" w:ascii="宋体" w:hAnsi="宋体" w:eastAsia="宋体" w:cs="宋体"/>
                <w:color w:val="auto"/>
                <w:kern w:val="0"/>
                <w:sz w:val="21"/>
                <w:szCs w:val="21"/>
                <w:highlight w:val="none"/>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4.2.2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递交</w:t>
            </w:r>
            <w:r>
              <w:rPr>
                <w:rStyle w:val="40"/>
                <w:rFonts w:hint="eastAsia" w:ascii="宋体" w:hAnsi="宋体" w:eastAsia="宋体" w:cs="宋体"/>
                <w:color w:val="auto"/>
                <w:kern w:val="0"/>
                <w:sz w:val="21"/>
                <w:szCs w:val="21"/>
                <w:highlight w:val="none"/>
                <w:lang w:eastAsia="zh-CN"/>
              </w:rPr>
              <w:t>投标文件</w:t>
            </w:r>
            <w:r>
              <w:rPr>
                <w:rStyle w:val="40"/>
                <w:rFonts w:hint="eastAsia" w:ascii="宋体" w:hAnsi="宋体" w:eastAsia="宋体" w:cs="宋体"/>
                <w:color w:val="auto"/>
                <w:kern w:val="0"/>
                <w:sz w:val="21"/>
                <w:szCs w:val="21"/>
                <w:highlight w:val="none"/>
              </w:rPr>
              <w:t>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3840"/>
                <w:tab w:val="left" w:pos="5300"/>
              </w:tabs>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南川区西城街道南鸿大厦12楼经营部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4.2.3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lang w:eastAsia="zh-CN"/>
              </w:rPr>
            </w:pPr>
            <w:r>
              <w:rPr>
                <w:rStyle w:val="40"/>
                <w:rFonts w:hint="eastAsia" w:ascii="宋体" w:hAnsi="宋体" w:eastAsia="宋体" w:cs="宋体"/>
                <w:color w:val="auto"/>
                <w:kern w:val="0"/>
                <w:sz w:val="21"/>
                <w:szCs w:val="21"/>
                <w:highlight w:val="none"/>
              </w:rPr>
              <w:t>是否退还</w:t>
            </w:r>
            <w:r>
              <w:rPr>
                <w:rStyle w:val="40"/>
                <w:rFonts w:hint="eastAsia" w:ascii="宋体" w:hAnsi="宋体" w:eastAsia="宋体" w:cs="宋体"/>
                <w:color w:val="auto"/>
                <w:kern w:val="0"/>
                <w:sz w:val="21"/>
                <w:szCs w:val="21"/>
                <w:highlight w:val="none"/>
                <w:lang w:eastAsia="zh-CN"/>
              </w:rPr>
              <w:t>投标文件</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5.1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开标时间和</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开标时间：同投标截止时间</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highlight w:val="none"/>
                <w:u w:val="single"/>
              </w:rPr>
            </w:pPr>
            <w:r>
              <w:rPr>
                <w:rStyle w:val="40"/>
                <w:rFonts w:hint="eastAsia" w:ascii="宋体" w:hAnsi="宋体" w:eastAsia="宋体" w:cs="宋体"/>
                <w:color w:val="auto"/>
                <w:kern w:val="0"/>
                <w:sz w:val="21"/>
                <w:szCs w:val="21"/>
                <w:highlight w:val="none"/>
              </w:rPr>
              <w:t>开标地点</w:t>
            </w:r>
            <w:r>
              <w:rPr>
                <w:rStyle w:val="40"/>
                <w:rFonts w:hint="eastAsia" w:ascii="宋体" w:hAnsi="宋体" w:eastAsia="宋体" w:cs="宋体"/>
                <w:color w:val="auto"/>
                <w:sz w:val="21"/>
                <w:szCs w:val="21"/>
                <w:highlight w:val="none"/>
              </w:rPr>
              <w:t>：</w:t>
            </w:r>
            <w:r>
              <w:rPr>
                <w:rStyle w:val="40"/>
                <w:rFonts w:hint="eastAsia" w:ascii="宋体" w:hAnsi="宋体" w:eastAsia="宋体" w:cs="宋体"/>
                <w:color w:val="auto"/>
                <w:kern w:val="0"/>
                <w:sz w:val="21"/>
                <w:szCs w:val="21"/>
                <w:highlight w:val="none"/>
                <w:u w:val="single"/>
              </w:rPr>
              <w:t xml:space="preserve">  同递交</w:t>
            </w:r>
            <w:r>
              <w:rPr>
                <w:rStyle w:val="40"/>
                <w:rFonts w:hint="eastAsia" w:ascii="宋体" w:hAnsi="宋体" w:eastAsia="宋体" w:cs="宋体"/>
                <w:color w:val="auto"/>
                <w:kern w:val="0"/>
                <w:sz w:val="21"/>
                <w:szCs w:val="21"/>
                <w:highlight w:val="none"/>
                <w:u w:val="single"/>
                <w:lang w:eastAsia="zh-CN"/>
              </w:rPr>
              <w:t>投标文件</w:t>
            </w:r>
            <w:r>
              <w:rPr>
                <w:rStyle w:val="40"/>
                <w:rFonts w:hint="eastAsia" w:ascii="宋体" w:hAnsi="宋体" w:eastAsia="宋体" w:cs="宋体"/>
                <w:color w:val="auto"/>
                <w:kern w:val="0"/>
                <w:sz w:val="21"/>
                <w:szCs w:val="21"/>
                <w:highlight w:val="none"/>
                <w:u w:val="single"/>
              </w:rPr>
              <w:t>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5.2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开标程序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主持人按下列程序进行开标：</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 宣布开标纪律；</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 宣布开标人、唱标人、记录人、监标人等有关人员姓名；</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 公布在投标截止时间前递交投标文件的投标人名称，并点名确认投标人是否派人到场；</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4.核验参加开标会议的投标人的法定代表人或委托代理人本人身份证（原件），核验被授权代理人的授权委托书（原件），以确认其身份合法有效，核验不合格的，当场退还其投标文件；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5.展示投标保证金缴款情况，未在规定时间缴纳保证金的，当场退还其投标文件；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 密封情况检查：招标人检查投标文件是否按本须知4.1.1的规定密封，如发现投标文件没按本表4.1.1的规定密封，则当场退还其投标文件；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7. 设有最高限价或者标底的，公布最高限价或者标底；</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8. 开启投标文件顺序：随机开启</w:t>
            </w:r>
            <w:r>
              <w:rPr>
                <w:rFonts w:hint="eastAsia" w:ascii="宋体" w:hAnsi="宋体" w:eastAsia="宋体" w:cs="宋体"/>
                <w:color w:val="auto"/>
                <w:sz w:val="21"/>
                <w:szCs w:val="21"/>
                <w:highlight w:val="none"/>
              </w:rPr>
              <w:t>，并公布投标人名称、标段名称、投标总报价、质量目标、工期及其他内容并记录在案。</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val="zh-CN"/>
              </w:rPr>
              <w:t>. 投标人代表、招标人代表、监标人、记录人等有关人员在开标记录上签字确认；</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val="zh-CN"/>
              </w:rPr>
              <w:t>. 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的组建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38" w:firstLineChars="201"/>
              <w:rPr>
                <w:rFonts w:hint="eastAsia" w:ascii="宋体" w:hAnsi="宋体" w:eastAsia="宋体" w:cs="宋体"/>
                <w:color w:val="auto"/>
                <w:sz w:val="21"/>
                <w:szCs w:val="21"/>
                <w:highlight w:val="none"/>
              </w:rPr>
            </w:pPr>
            <w:r>
              <w:rPr>
                <w:rFonts w:hint="eastAsia" w:ascii="宋体" w:hAnsi="宋体" w:eastAsia="宋体" w:cs="宋体"/>
                <w:color w:val="auto"/>
                <w:spacing w:val="4"/>
                <w:kern w:val="0"/>
                <w:sz w:val="21"/>
                <w:szCs w:val="21"/>
                <w:highlight w:val="none"/>
                <w:lang w:val="en-US" w:eastAsia="zh-CN"/>
              </w:rPr>
              <w:t>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7.1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是否授权</w:t>
            </w:r>
            <w:r>
              <w:rPr>
                <w:rStyle w:val="40"/>
                <w:rFonts w:hint="eastAsia" w:ascii="宋体" w:hAnsi="宋体" w:eastAsia="宋体" w:cs="宋体"/>
                <w:color w:val="auto"/>
                <w:kern w:val="0"/>
                <w:sz w:val="21"/>
                <w:szCs w:val="21"/>
                <w:highlight w:val="none"/>
                <w:lang w:val="zh-CN"/>
              </w:rPr>
              <w:t>评审小组</w:t>
            </w:r>
            <w:r>
              <w:rPr>
                <w:rStyle w:val="40"/>
                <w:rFonts w:hint="eastAsia" w:ascii="宋体" w:hAnsi="宋体" w:eastAsia="宋体" w:cs="宋体"/>
                <w:color w:val="auto"/>
                <w:kern w:val="0"/>
                <w:sz w:val="21"/>
                <w:szCs w:val="21"/>
                <w:highlight w:val="none"/>
              </w:rPr>
              <w:t>确定中标人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否，推荐经评审综合得分由高到低排名前三名为中标候选人。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8.1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重新招标</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（1）投标截止时间止，投标人少于 3 个的；</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（2）评审后否决所有投标的。</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（3）法律法规规定的其它情形。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8.2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sz w:val="21"/>
                <w:szCs w:val="21"/>
                <w:highlight w:val="none"/>
              </w:rPr>
            </w:pPr>
            <w:r>
              <w:rPr>
                <w:rStyle w:val="40"/>
                <w:rFonts w:hint="eastAsia" w:ascii="宋体" w:hAnsi="宋体" w:eastAsia="宋体" w:cs="宋体"/>
                <w:color w:val="auto"/>
                <w:kern w:val="0"/>
                <w:sz w:val="21"/>
                <w:szCs w:val="21"/>
                <w:highlight w:val="none"/>
              </w:rPr>
              <w:t>重新招标和不再招标</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重新招标后投标人仍少于3个，按法定程序开标和评标，确定中标人。经评审无合格投标人，属于必须审批或核准的工程建设项目，经原审批或核准部门批准后可以不再进行招标。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highlight w:val="none"/>
              </w:rPr>
            </w:pPr>
            <w:r>
              <w:rPr>
                <w:rStyle w:val="40"/>
                <w:rFonts w:hint="eastAsia" w:ascii="宋体" w:hAnsi="宋体" w:eastAsia="宋体" w:cs="宋体"/>
                <w:b/>
                <w:color w:val="auto"/>
                <w:kern w:val="0"/>
                <w:sz w:val="21"/>
                <w:szCs w:val="21"/>
                <w:highlight w:val="none"/>
              </w:rPr>
              <w:t>10</w:t>
            </w:r>
          </w:p>
        </w:tc>
        <w:tc>
          <w:tcPr>
            <w:tcW w:w="84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right="27" w:rightChars="13"/>
              <w:jc w:val="center"/>
              <w:rPr>
                <w:rStyle w:val="40"/>
                <w:rFonts w:hint="eastAsia" w:ascii="宋体" w:hAnsi="宋体" w:eastAsia="宋体" w:cs="宋体"/>
                <w:b/>
                <w:color w:val="auto"/>
                <w:kern w:val="0"/>
                <w:sz w:val="21"/>
                <w:szCs w:val="21"/>
                <w:highlight w:val="none"/>
              </w:rPr>
            </w:pPr>
            <w:r>
              <w:rPr>
                <w:rStyle w:val="40"/>
                <w:rFonts w:hint="eastAsia" w:ascii="宋体" w:hAnsi="宋体" w:eastAsia="宋体" w:cs="宋体"/>
                <w:b/>
                <w:color w:val="auto"/>
                <w:kern w:val="0"/>
                <w:sz w:val="21"/>
                <w:szCs w:val="21"/>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val="0"/>
                <w:bCs w:val="0"/>
                <w:color w:val="auto"/>
                <w:kern w:val="0"/>
                <w:sz w:val="21"/>
                <w:szCs w:val="21"/>
                <w:highlight w:val="none"/>
              </w:rPr>
            </w:pPr>
            <w:r>
              <w:rPr>
                <w:rStyle w:val="40"/>
                <w:rFonts w:hint="eastAsia" w:ascii="宋体" w:hAnsi="宋体" w:eastAsia="宋体" w:cs="宋体"/>
                <w:b w:val="0"/>
                <w:bCs w:val="0"/>
                <w:color w:val="auto"/>
                <w:kern w:val="0"/>
                <w:sz w:val="21"/>
                <w:szCs w:val="21"/>
                <w:highlight w:val="none"/>
              </w:rPr>
              <w:t>10.1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工程款支付</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20" w:firstLineChars="200"/>
              <w:jc w:val="left"/>
              <w:textAlignment w:val="auto"/>
              <w:rPr>
                <w:rFonts w:hint="eastAsia"/>
                <w:color w:val="auto"/>
                <w:highlight w:val="none"/>
                <w:lang w:eastAsia="zh-CN"/>
              </w:rPr>
            </w:pPr>
            <w:r>
              <w:rPr>
                <w:rFonts w:hint="eastAsia" w:ascii="宋体" w:hAnsi="宋体" w:eastAsia="宋体" w:cs="宋体"/>
                <w:color w:val="auto"/>
                <w:sz w:val="21"/>
                <w:szCs w:val="21"/>
                <w:highlight w:val="none"/>
              </w:rPr>
              <w:t>按月进度产值的</w:t>
            </w:r>
            <w:r>
              <w:rPr>
                <w:rFonts w:hint="eastAsia" w:ascii="宋体" w:hAnsi="宋体" w:eastAsia="宋体" w:cs="宋体"/>
                <w:color w:val="auto"/>
                <w:sz w:val="21"/>
                <w:szCs w:val="21"/>
                <w:highlight w:val="none"/>
                <w:lang w:val="en-US" w:eastAsia="zh-CN"/>
              </w:rPr>
              <w:t>80</w:t>
            </w:r>
            <w:r>
              <w:rPr>
                <w:rFonts w:hint="eastAsia" w:ascii="宋体" w:hAnsi="宋体" w:eastAsia="宋体" w:cs="宋体"/>
                <w:color w:val="auto"/>
                <w:sz w:val="21"/>
                <w:szCs w:val="21"/>
                <w:highlight w:val="none"/>
              </w:rPr>
              <w:t>%支付进度款；项目竣工验收合格后30日内，支付至合同总价款的80%（实际完成工程投资达不到合同总价的，则支付不能超过实际完成工程投资的80%）；经审计完成收到审计决定书后30个工作日内支付至审定总价的97%；扣留结算金额的3%作为质量保证金，工程竣工验收合格满2年无质量缺陷（或质量缺陷已修复后）后30日内，无息退还所扣质保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default" w:ascii="宋体" w:hAnsi="宋体" w:eastAsia="宋体" w:cs="宋体"/>
                <w:b w:val="0"/>
                <w:bCs w:val="0"/>
                <w:color w:val="auto"/>
                <w:kern w:val="0"/>
                <w:sz w:val="21"/>
                <w:szCs w:val="21"/>
                <w:highlight w:val="none"/>
                <w:lang w:val="en-US" w:eastAsia="zh-CN"/>
              </w:rPr>
            </w:pPr>
            <w:r>
              <w:rPr>
                <w:rStyle w:val="40"/>
                <w:rFonts w:hint="eastAsia" w:ascii="宋体" w:hAnsi="宋体" w:eastAsia="宋体" w:cs="宋体"/>
                <w:b w:val="0"/>
                <w:bCs w:val="0"/>
                <w:color w:val="auto"/>
                <w:kern w:val="0"/>
                <w:sz w:val="21"/>
                <w:szCs w:val="21"/>
                <w:highlight w:val="none"/>
                <w:lang w:val="en-US" w:eastAsia="zh-CN"/>
              </w:rPr>
              <w:t>10.1.1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履约保证金</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27" w:rightChars="13"/>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lang w:eastAsia="zh-CN"/>
              </w:rPr>
              <w:t>乙方在与甲方签订本合同时，应向甲方一次性支付</w:t>
            </w:r>
            <w:r>
              <w:rPr>
                <w:rFonts w:hint="eastAsia" w:ascii="宋体" w:hAnsi="宋体" w:eastAsia="宋体" w:cs="宋体"/>
                <w:color w:val="auto"/>
                <w:sz w:val="21"/>
                <w:szCs w:val="21"/>
                <w:highlight w:val="none"/>
                <w:u w:val="single"/>
                <w:lang w:eastAsia="zh-CN"/>
              </w:rPr>
              <w:t>贰拾</w:t>
            </w:r>
            <w:r>
              <w:rPr>
                <w:rFonts w:hint="eastAsia" w:ascii="宋体" w:hAnsi="宋体" w:eastAsia="宋体" w:cs="宋体"/>
                <w:color w:val="auto"/>
                <w:sz w:val="21"/>
                <w:szCs w:val="21"/>
                <w:highlight w:val="none"/>
                <w:lang w:eastAsia="zh-CN"/>
              </w:rPr>
              <w:t>万元的履约保证金（</w:t>
            </w:r>
            <w:r>
              <w:rPr>
                <w:rFonts w:hint="eastAsia" w:ascii="宋体" w:hAnsi="宋体" w:eastAsia="宋体" w:cs="宋体"/>
                <w:color w:val="auto"/>
                <w:sz w:val="21"/>
                <w:szCs w:val="21"/>
                <w:highlight w:val="none"/>
                <w:lang w:val="en-US" w:eastAsia="zh-CN"/>
              </w:rPr>
              <w:t>现金或保函</w:t>
            </w:r>
            <w:r>
              <w:rPr>
                <w:rFonts w:hint="eastAsia" w:ascii="宋体" w:hAnsi="宋体" w:eastAsia="宋体" w:cs="宋体"/>
                <w:color w:val="auto"/>
                <w:sz w:val="21"/>
                <w:szCs w:val="21"/>
                <w:highlight w:val="none"/>
                <w:lang w:eastAsia="zh-CN"/>
              </w:rPr>
              <w:t>），该保证金作为乙方履约担保，在工程竣工验收后按相关规定及约定由甲方无息退还乙方。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highlight w:val="none"/>
              </w:rPr>
            </w:pPr>
          </w:p>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 xml:space="preserve">   10.2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u w:val="none"/>
              </w:rPr>
              <w:t>结算方式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按照GB50500-2013《建设工程工程量清单计价规范》和CQJJGZ-2013《重庆市建设工程工程量清单计价规则的规定以固定综合单价（以</w:t>
            </w:r>
            <w:r>
              <w:rPr>
                <w:rFonts w:hint="eastAsia" w:ascii="宋体" w:hAnsi="宋体" w:eastAsia="宋体" w:cs="宋体"/>
                <w:color w:val="auto"/>
                <w:kern w:val="0"/>
                <w:sz w:val="21"/>
                <w:szCs w:val="21"/>
                <w:highlight w:val="none"/>
                <w:lang w:eastAsia="zh-CN"/>
              </w:rPr>
              <w:t>预算审核</w:t>
            </w:r>
            <w:r>
              <w:rPr>
                <w:rFonts w:hint="eastAsia" w:ascii="宋体" w:hAnsi="宋体" w:eastAsia="宋体" w:cs="宋体"/>
                <w:color w:val="auto"/>
                <w:kern w:val="0"/>
                <w:sz w:val="21"/>
                <w:szCs w:val="21"/>
                <w:highlight w:val="none"/>
              </w:rPr>
              <w:t>单价为基价乘以（1-</w:t>
            </w:r>
            <w:r>
              <w:rPr>
                <w:rFonts w:hint="eastAsia" w:ascii="宋体" w:hAnsi="宋体" w:eastAsia="宋体" w:cs="宋体"/>
                <w:color w:val="auto"/>
                <w:sz w:val="21"/>
                <w:szCs w:val="21"/>
                <w:highlight w:val="none"/>
                <w:lang w:val="en-US" w:eastAsia="zh-CN"/>
              </w:rPr>
              <w:t>中标下浮比例</w:t>
            </w:r>
            <w:r>
              <w:rPr>
                <w:rFonts w:hint="eastAsia" w:ascii="宋体" w:hAnsi="宋体" w:eastAsia="宋体" w:cs="宋体"/>
                <w:color w:val="auto"/>
                <w:kern w:val="0"/>
                <w:sz w:val="21"/>
                <w:szCs w:val="21"/>
                <w:highlight w:val="none"/>
              </w:rPr>
              <w:t>）结算。</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结算公式：本专业分包竣工结算总价=固定综合单价（以</w:t>
            </w:r>
            <w:r>
              <w:rPr>
                <w:rFonts w:hint="eastAsia" w:ascii="宋体" w:hAnsi="宋体" w:eastAsia="宋体" w:cs="宋体"/>
                <w:color w:val="auto"/>
                <w:kern w:val="0"/>
                <w:sz w:val="21"/>
                <w:szCs w:val="21"/>
                <w:highlight w:val="none"/>
                <w:lang w:eastAsia="zh-CN"/>
              </w:rPr>
              <w:t>预算审核</w:t>
            </w:r>
            <w:r>
              <w:rPr>
                <w:rFonts w:hint="eastAsia" w:ascii="宋体" w:hAnsi="宋体" w:eastAsia="宋体" w:cs="宋体"/>
                <w:color w:val="auto"/>
                <w:kern w:val="0"/>
                <w:sz w:val="21"/>
                <w:szCs w:val="21"/>
                <w:highlight w:val="none"/>
              </w:rPr>
              <w:t>单价为基价乘以（1-</w:t>
            </w:r>
            <w:r>
              <w:rPr>
                <w:rFonts w:hint="eastAsia" w:ascii="宋体" w:hAnsi="宋体" w:eastAsia="宋体" w:cs="宋体"/>
                <w:color w:val="auto"/>
                <w:sz w:val="21"/>
                <w:szCs w:val="21"/>
                <w:highlight w:val="none"/>
                <w:lang w:val="en-US" w:eastAsia="zh-CN"/>
              </w:rPr>
              <w:t>中标下浮比例</w:t>
            </w:r>
            <w:r>
              <w:rPr>
                <w:rFonts w:hint="eastAsia" w:ascii="宋体" w:hAnsi="宋体" w:eastAsia="宋体" w:cs="宋体"/>
                <w:color w:val="auto"/>
                <w:kern w:val="0"/>
                <w:sz w:val="21"/>
                <w:szCs w:val="21"/>
                <w:highlight w:val="none"/>
              </w:rPr>
              <w:t>）×实际发生工程量+工程设计变更及新增(减)项目费用调整+税金</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具体结算办法如下：</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（1）工程量清单结算价：</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eastAsia="zh-CN"/>
              </w:rPr>
              <w:t>预算审核</w:t>
            </w:r>
            <w:r>
              <w:rPr>
                <w:rFonts w:hint="eastAsia" w:ascii="宋体" w:hAnsi="宋体" w:eastAsia="宋体" w:cs="宋体"/>
                <w:color w:val="auto"/>
                <w:kern w:val="0"/>
                <w:sz w:val="21"/>
                <w:szCs w:val="21"/>
                <w:highlight w:val="none"/>
              </w:rPr>
              <w:t>报告中分部分项工程量清单项目实行综合单价包干，工程结算时，以乙方在本项目</w:t>
            </w:r>
            <w:r>
              <w:rPr>
                <w:rFonts w:hint="eastAsia" w:ascii="宋体" w:hAnsi="宋体" w:eastAsia="宋体" w:cs="宋体"/>
                <w:color w:val="auto"/>
                <w:kern w:val="0"/>
                <w:sz w:val="21"/>
                <w:szCs w:val="21"/>
                <w:highlight w:val="none"/>
                <w:lang w:eastAsia="zh-CN"/>
              </w:rPr>
              <w:t>预算审核</w:t>
            </w:r>
            <w:r>
              <w:rPr>
                <w:rFonts w:hint="eastAsia" w:ascii="宋体" w:hAnsi="宋体" w:eastAsia="宋体" w:cs="宋体"/>
                <w:color w:val="auto"/>
                <w:kern w:val="0"/>
                <w:sz w:val="21"/>
                <w:szCs w:val="21"/>
                <w:highlight w:val="none"/>
              </w:rPr>
              <w:t>报告中分部分项工程量清单综合单价乘以（1-</w:t>
            </w:r>
            <w:r>
              <w:rPr>
                <w:rFonts w:hint="eastAsia" w:ascii="宋体" w:hAnsi="宋体" w:eastAsia="宋体" w:cs="宋体"/>
                <w:color w:val="auto"/>
                <w:sz w:val="21"/>
                <w:szCs w:val="21"/>
                <w:highlight w:val="none"/>
                <w:lang w:val="en-US" w:eastAsia="zh-CN"/>
              </w:rPr>
              <w:t>中标下浮比例</w:t>
            </w:r>
            <w:r>
              <w:rPr>
                <w:rFonts w:hint="eastAsia" w:ascii="宋体" w:hAnsi="宋体" w:eastAsia="宋体" w:cs="宋体"/>
                <w:color w:val="auto"/>
                <w:kern w:val="0"/>
                <w:sz w:val="21"/>
                <w:szCs w:val="21"/>
                <w:highlight w:val="none"/>
              </w:rPr>
              <w:t>）为结算单价依据，乘以经甲乙双方认定的</w:t>
            </w:r>
            <w:r>
              <w:rPr>
                <w:rFonts w:hint="eastAsia" w:ascii="宋体" w:hAnsi="宋体" w:eastAsia="宋体" w:cs="宋体"/>
                <w:color w:val="auto"/>
                <w:kern w:val="0"/>
                <w:sz w:val="21"/>
                <w:szCs w:val="21"/>
                <w:highlight w:val="none"/>
                <w:lang w:val="en-US" w:eastAsia="zh-CN"/>
              </w:rPr>
              <w:t>施工图</w:t>
            </w:r>
            <w:r>
              <w:rPr>
                <w:rFonts w:hint="eastAsia" w:ascii="宋体" w:hAnsi="宋体" w:eastAsia="宋体" w:cs="宋体"/>
                <w:color w:val="auto"/>
                <w:kern w:val="0"/>
                <w:sz w:val="21"/>
                <w:szCs w:val="21"/>
                <w:highlight w:val="none"/>
              </w:rPr>
              <w:t>、设计变更、签证单并按照GB50500-2013《建设工程工程量清单计价规范》计算的工程量，作为该子项的结算合价。各分部分项工程量清单子项合价累计相加，得分部分项工程量清单结算价。</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2)措施项目费中组织措施费，均采用总价包干，结算时不作调整；技术措施费=综合单价(以</w:t>
            </w:r>
            <w:r>
              <w:rPr>
                <w:rFonts w:hint="eastAsia" w:ascii="宋体" w:hAnsi="宋体" w:eastAsia="宋体" w:cs="宋体"/>
                <w:color w:val="auto"/>
                <w:kern w:val="0"/>
                <w:sz w:val="21"/>
                <w:szCs w:val="21"/>
                <w:highlight w:val="none"/>
                <w:lang w:eastAsia="zh-CN"/>
              </w:rPr>
              <w:t>预算审核</w:t>
            </w:r>
            <w:r>
              <w:rPr>
                <w:rFonts w:hint="eastAsia" w:ascii="宋体" w:hAnsi="宋体" w:eastAsia="宋体" w:cs="宋体"/>
                <w:color w:val="auto"/>
                <w:kern w:val="0"/>
                <w:sz w:val="21"/>
                <w:szCs w:val="21"/>
                <w:highlight w:val="none"/>
              </w:rPr>
              <w:t>单价为基价乘以（1-</w:t>
            </w:r>
            <w:r>
              <w:rPr>
                <w:rFonts w:hint="eastAsia" w:ascii="宋体" w:hAnsi="宋体" w:eastAsia="宋体" w:cs="宋体"/>
                <w:color w:val="auto"/>
                <w:sz w:val="21"/>
                <w:szCs w:val="21"/>
                <w:highlight w:val="none"/>
                <w:lang w:val="en-US" w:eastAsia="zh-CN"/>
              </w:rPr>
              <w:t>中标下浮比例</w:t>
            </w:r>
            <w:r>
              <w:rPr>
                <w:rFonts w:hint="eastAsia" w:ascii="宋体" w:hAnsi="宋体" w:eastAsia="宋体" w:cs="宋体"/>
                <w:color w:val="auto"/>
                <w:kern w:val="0"/>
                <w:sz w:val="21"/>
                <w:szCs w:val="21"/>
                <w:highlight w:val="none"/>
              </w:rPr>
              <w:t>）×实际发生工程量。</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(2）工程设计变更或新增(减)工程内容结算办法：工程量清单的缺项漏项、新增(减)工程内容涉及工程费用调整时，由乙方提出，甲方审核同意后，可增减结算费用。变更涉及调整价格的调整方法如下：</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1)当财政评审综合单价中有适应于变更工程项目的综合单价，则按该项目的财政评审综合单价为基价乘以（1-中标下浮比例）计价；</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2)当财政评审综合单价中有类似变更工程项目的综合单价，则参照财政评审综合单价中类似的综合单价为基价乘以（1-中标下浮比例）计价；</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3)当财政评审综合单价中无对应项目或类似项目综合单价时，按以下原则组价：</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a、按《重庆市房屋建筑与装饰工程计价定额》（CQJZZSDE-2018）、《重庆市仿古建筑工程计价定额》（CQFGDE-2018）、《重庆市通用安装工程计价定额》（CQAZDE-2018） 、《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施工机械台班定额》（CQJXDE-2018）、《重庆市建设工程施工仪器仪表台班定额》（CQYQYBDE-2018）、《重庆市建设工程混凝土及砂浆配合比表》（CQPHBB-2018）、《重庆市建设工程费用定额》（CQFYDE-2018）及相关配套文件进行组价；</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b、人工单价：按</w:t>
            </w:r>
            <w:r>
              <w:rPr>
                <w:rFonts w:hint="eastAsia" w:ascii="宋体" w:hAnsi="宋体" w:eastAsia="宋体" w:cs="宋体"/>
                <w:color w:val="auto"/>
                <w:kern w:val="0"/>
                <w:sz w:val="21"/>
                <w:szCs w:val="21"/>
                <w:highlight w:val="none"/>
                <w:lang w:val="en-US" w:eastAsia="zh-CN"/>
              </w:rPr>
              <w:t>开标</w:t>
            </w:r>
            <w:r>
              <w:rPr>
                <w:rFonts w:hint="eastAsia" w:ascii="宋体" w:hAnsi="宋体" w:eastAsia="宋体" w:cs="宋体"/>
                <w:color w:val="auto"/>
                <w:kern w:val="0"/>
                <w:sz w:val="21"/>
                <w:szCs w:val="21"/>
                <w:highlight w:val="none"/>
              </w:rPr>
              <w:t>当期《重庆工程造价信息》南川区价格执行；</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C、设备材料单价：</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①按开标当期《重庆工程造价信息》发布的南川区在地的信息价执行；</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③开标当期《重庆工程造价信息》和承包人投标报价没有的，由乙方提出，甲方核价确认；</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D.按以上原则组价后为基价乘以（1-中标下浮比例）。最终单价以第三方审核为准</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（3）因实际需要乙方应无条件接收工程量清单或图纸以外的工程量增减，不得以任何借口不完成增加的工程量和不接受工程量的减少，否则按合同中相应的违约条款处理。</w:t>
            </w:r>
          </w:p>
          <w:p>
            <w:pPr>
              <w:keepNext w:val="0"/>
              <w:keepLines w:val="0"/>
              <w:pageBreakBefore w:val="0"/>
              <w:widowControl w:val="0"/>
              <w:suppressLineNumbers w:val="0"/>
              <w:tabs>
                <w:tab w:val="left" w:pos="3395"/>
                <w:tab w:val="left" w:pos="5940"/>
              </w:tabs>
              <w:kinsoku/>
              <w:wordWrap/>
              <w:overflowPunct/>
              <w:topLinePunct w:val="0"/>
              <w:autoSpaceDE w:val="0"/>
              <w:autoSpaceDN w:val="0"/>
              <w:bidi w:val="0"/>
              <w:adjustRightInd/>
              <w:snapToGrid/>
              <w:spacing w:before="0" w:beforeAutospacing="0" w:after="0" w:afterAutospacing="0" w:line="360" w:lineRule="auto"/>
              <w:ind w:left="0" w:leftChars="0" w:right="0"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rPr>
              <w:t>（4）税金：按规定费率结算。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 xml:space="preserve">   10.3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招标代理</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服务费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firstLine="420" w:firstLineChars="200"/>
              <w:rPr>
                <w:rStyle w:val="40"/>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sz w:val="21"/>
                <w:szCs w:val="21"/>
                <w:highlight w:val="none"/>
                <w:lang w:val="zh-CN"/>
              </w:rPr>
              <w:t>参照国家计委《招标代理服务收费管理暂行办法》计价格[2002]1980号文件“工程类”标准计取代理费用，由中标人在领取中标通知书时一次性支付给招标代理公司。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highlight w:val="none"/>
                <w:lang w:eastAsia="zh-CN"/>
              </w:rPr>
            </w:pPr>
            <w:r>
              <w:rPr>
                <w:rStyle w:val="40"/>
                <w:rFonts w:hint="eastAsia" w:ascii="宋体" w:hAnsi="宋体" w:eastAsia="宋体" w:cs="宋体"/>
                <w:color w:val="auto"/>
                <w:kern w:val="0"/>
                <w:sz w:val="21"/>
                <w:szCs w:val="21"/>
                <w:highlight w:val="none"/>
              </w:rPr>
              <w:t xml:space="preserve">   10.</w:t>
            </w:r>
            <w:r>
              <w:rPr>
                <w:rStyle w:val="40"/>
                <w:rFonts w:hint="eastAsia" w:ascii="宋体" w:hAnsi="宋体" w:eastAsia="宋体" w:cs="宋体"/>
                <w:color w:val="auto"/>
                <w:kern w:val="0"/>
                <w:sz w:val="21"/>
                <w:szCs w:val="21"/>
                <w:highlight w:val="none"/>
                <w:lang w:val="en-US" w:eastAsia="zh-CN"/>
              </w:rPr>
              <w:t>4</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sz w:val="21"/>
                <w:szCs w:val="21"/>
                <w:highlight w:val="none"/>
              </w:rPr>
              <w:t>费用承担</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highlight w:val="none"/>
              </w:rPr>
            </w:pPr>
            <w:r>
              <w:rPr>
                <w:rStyle w:val="40"/>
                <w:rFonts w:hint="eastAsia" w:ascii="宋体" w:hAnsi="宋体" w:eastAsia="宋体" w:cs="宋体"/>
                <w:color w:val="auto"/>
                <w:kern w:val="0"/>
                <w:sz w:val="21"/>
                <w:szCs w:val="21"/>
                <w:highlight w:val="none"/>
              </w:rPr>
              <w:t>投标人准备和参加投标活动发生的费用自理。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10.5</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其他说明</w:t>
            </w:r>
          </w:p>
        </w:tc>
        <w:tc>
          <w:tcPr>
            <w:tcW w:w="655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rPr>
                <w:rFonts w:hint="eastAsia" w:ascii="宋体" w:hAnsi="宋体" w:eastAsia="宋体" w:cs="宋体"/>
                <w:color w:val="auto"/>
                <w:kern w:val="0"/>
                <w:sz w:val="21"/>
                <w:szCs w:val="21"/>
                <w:highlight w:val="none"/>
                <w:lang w:eastAsia="zh-CN"/>
              </w:rPr>
            </w:pPr>
            <w:r>
              <w:rPr>
                <w:rFonts w:ascii="宋体" w:hAnsi="宋体"/>
                <w:color w:val="auto"/>
                <w:szCs w:val="21"/>
                <w:highlight w:val="none"/>
              </w:rPr>
              <w:t>若投标人须知前附表与正文不一致的地方，以投标人须知前附表为准。</w:t>
            </w:r>
          </w:p>
        </w:tc>
      </w:tr>
    </w:tbl>
    <w:p>
      <w:pPr>
        <w:rPr>
          <w:rFonts w:hint="eastAsia" w:ascii="宋体" w:hAnsi="宋体" w:eastAsia="宋体" w:cs="宋体"/>
          <w:color w:val="auto"/>
          <w:sz w:val="24"/>
          <w:szCs w:val="24"/>
          <w:highlight w:val="none"/>
        </w:rPr>
      </w:pPr>
      <w:bookmarkStart w:id="11" w:name="_Toc81320373"/>
      <w:r>
        <w:rPr>
          <w:rFonts w:hint="eastAsia" w:ascii="宋体" w:hAnsi="宋体" w:eastAsia="宋体" w:cs="宋体"/>
          <w:color w:val="auto"/>
          <w:sz w:val="24"/>
          <w:szCs w:val="24"/>
          <w:highlight w:val="none"/>
        </w:rPr>
        <w:br w:type="page"/>
      </w:r>
    </w:p>
    <w:bookmarkEnd w:id="11"/>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highlight w:val="none"/>
        </w:rPr>
      </w:pPr>
      <w:bookmarkStart w:id="12" w:name="_Hlk79837017"/>
      <w:bookmarkStart w:id="13" w:name="_Toc81320394"/>
      <w:r>
        <w:rPr>
          <w:rStyle w:val="40"/>
          <w:rFonts w:hint="eastAsia" w:ascii="宋体" w:hAnsi="宋体" w:eastAsia="宋体" w:cs="宋体"/>
          <w:color w:val="auto"/>
          <w:sz w:val="21"/>
          <w:szCs w:val="21"/>
          <w:highlight w:val="none"/>
        </w:rPr>
        <w:t>1.  总则</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1.1  项目概况</w:t>
      </w:r>
    </w:p>
    <w:p>
      <w:pPr>
        <w:pageBreakBefore w:val="0"/>
        <w:widowControl w:val="0"/>
        <w:kinsoku/>
        <w:wordWrap/>
        <w:overflowPunct/>
        <w:topLinePunct w:val="0"/>
        <w:autoSpaceDE/>
        <w:autoSpaceDN/>
        <w:bidi w:val="0"/>
        <w:adjustRightInd/>
        <w:snapToGrid w:val="0"/>
        <w:spacing w:line="312" w:lineRule="auto"/>
        <w:ind w:firstLine="357" w:firstLineChars="17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1.1.1  根据《中华人民共和国招标投标法》等有关法律、法规和规章的规定，本招标项目已具备招标条件，现对本</w:t>
      </w:r>
      <w:r>
        <w:rPr>
          <w:rStyle w:val="40"/>
          <w:rFonts w:hint="eastAsia" w:ascii="宋体" w:hAnsi="宋体" w:eastAsia="宋体" w:cs="宋体"/>
          <w:color w:val="auto"/>
          <w:kern w:val="0"/>
          <w:szCs w:val="21"/>
          <w:highlight w:val="none"/>
          <w:lang w:eastAsia="zh-CN"/>
        </w:rPr>
        <w:t>项目</w:t>
      </w:r>
      <w:r>
        <w:rPr>
          <w:rStyle w:val="40"/>
          <w:rFonts w:hint="eastAsia" w:ascii="宋体" w:hAnsi="宋体" w:eastAsia="宋体" w:cs="宋体"/>
          <w:color w:val="auto"/>
          <w:kern w:val="0"/>
          <w:szCs w:val="21"/>
          <w:highlight w:val="none"/>
        </w:rPr>
        <w:t>施工进行招标。</w:t>
      </w:r>
    </w:p>
    <w:p>
      <w:pPr>
        <w:pageBreakBefore w:val="0"/>
        <w:widowControl w:val="0"/>
        <w:kinsoku/>
        <w:wordWrap/>
        <w:overflowPunct/>
        <w:topLinePunct w:val="0"/>
        <w:autoSpaceDE/>
        <w:autoSpaceDN/>
        <w:bidi w:val="0"/>
        <w:adjustRightInd/>
        <w:snapToGrid w:val="0"/>
        <w:spacing w:line="312" w:lineRule="auto"/>
        <w:ind w:firstLine="357" w:firstLineChars="17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1.1.2  本招标项目招标人：见投标人须知前附表。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1.1.3  本标段招标代理机构：见投标人须知前附表。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1.1.4  本招标项目名称：见投标人须知前附表。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1.1.5  本标段建设地点：见投标人须知前附表。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1.2  资金来源和落实情况</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1.2.1  本招标项目的资金来源：见投标人须知前附表。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1.2.2  本招标项目的出资比例：见投标人须知前附表。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1.2.3  本招标项目的资金落实情况：见投标人须知前附表。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1.3  招标范围、计划工期和质量要求</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1.3.1  本次招标范围：见投标人须知前附表。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1.3.2  本标段的计划工期：见投标人须知前附表。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1.3.3  本标段的质量要求：见投标人须知前附表。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1.4  投标人资格要求</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1.4.1 投标人应具备承担本标段施工的资质条件、能力和信誉。</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w:t>
      </w:r>
      <w:r>
        <w:rPr>
          <w:rStyle w:val="40"/>
          <w:rFonts w:hint="eastAsia" w:ascii="宋体" w:hAnsi="宋体" w:eastAsia="宋体" w:cs="宋体"/>
          <w:color w:val="auto"/>
          <w:szCs w:val="21"/>
          <w:highlight w:val="none"/>
        </w:rPr>
        <w:t>资质条件、营业执照及安全生产条件</w:t>
      </w:r>
      <w:r>
        <w:rPr>
          <w:rStyle w:val="40"/>
          <w:rFonts w:hint="eastAsia" w:ascii="宋体" w:hAnsi="宋体" w:eastAsia="宋体" w:cs="宋体"/>
          <w:color w:val="auto"/>
          <w:kern w:val="0"/>
          <w:szCs w:val="21"/>
          <w:highlight w:val="none"/>
        </w:rPr>
        <w:t>：见投标人须知前附表；</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（2）其他要求：见投标人须知前附表。</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1.4.3  投标人不得存在下列情形之一：</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position w:val="-2"/>
          <w:szCs w:val="21"/>
          <w:highlight w:val="none"/>
        </w:rPr>
        <w:t>（1）与招标人存在利害关系可能影响招标公正性的法人、其他组织或者个人；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（2）为本标段前期准备提供设计或咨询服务的，但设计施工总承包的除外；</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（3）为本标段的监理人；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（4）为本标段的代建人；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（5）为本标段提供招标代理服务的；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（6）与本标段的监理人或代建人或招标代理机构同为一个法定代表人的；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（7）与本标段的监理人或代建人或招标代理机构相互控股或参股的；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（8）与本标段的监理人或代建人或招标代理机构相互任职或工作的；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（9）被责令停业的；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（10）被暂停或取消投标资格的；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（11）财产被接管或冻结的；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（12）</w:t>
      </w:r>
      <w:r>
        <w:rPr>
          <w:rStyle w:val="40"/>
          <w:rFonts w:hint="eastAsia" w:ascii="宋体" w:hAnsi="宋体" w:eastAsia="宋体" w:cs="宋体"/>
          <w:color w:val="auto"/>
          <w:szCs w:val="21"/>
          <w:highlight w:val="none"/>
        </w:rPr>
        <w:t>单位负责人为同一人或者存在控股、管理关系的不同单位，不得在同一标段中同时投标</w:t>
      </w:r>
      <w:r>
        <w:rPr>
          <w:rStyle w:val="40"/>
          <w:rFonts w:hint="eastAsia" w:ascii="宋体" w:hAnsi="宋体" w:eastAsia="宋体" w:cs="宋体"/>
          <w:color w:val="auto"/>
          <w:kern w:val="0"/>
          <w:szCs w:val="21"/>
          <w:highlight w:val="none"/>
        </w:rPr>
        <w:t>。</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1.5  费用承担</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投标人准备和参加投标活动发生的费用自理。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1.6  保密</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参与招标投标活动的各方应对</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和</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中的商业和技术等秘密保密，违者应对由此造成的后果承担法律责任。</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1.7  语言文字</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除专用术语外，与招标投标有关的语言均使用中文。必要时专用术语应附有中文注释。</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1.8  计量单位</w:t>
      </w:r>
    </w:p>
    <w:p>
      <w:pPr>
        <w:pageBreakBefore w:val="0"/>
        <w:widowControl w:val="0"/>
        <w:kinsoku/>
        <w:wordWrap/>
        <w:overflowPunct/>
        <w:topLinePunct w:val="0"/>
        <w:autoSpaceDE/>
        <w:autoSpaceDN/>
        <w:bidi w:val="0"/>
        <w:adjustRightInd/>
        <w:snapToGrid w:val="0"/>
        <w:spacing w:line="312" w:lineRule="auto"/>
        <w:ind w:firstLine="424" w:firstLineChars="202"/>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所有计量均采用中华人民共和国法定计量单位。</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1.9  踏勘现场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1.9.1  本次招标不组织踏勘现场，由投标人自行踏勘，以便投标人已充分考虑了现场和环境条件，踏勘现场所发生的费用由投标人承担。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1.9.2  投标人踏勘现场发生的费用自理。</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1.9.3  除招标人的原因外，投标人自行负责在踏勘现场中所发生的人员伤亡和财产损失。</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1.9.4  招标人在踏勘现场中介绍的工程场地和相关的周边环境情况，供投标人在编制</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时参考，招标人不对投标人据此做出的判断和决策负责。</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1.10  分包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b w:val="0"/>
          <w:bCs w:val="0"/>
          <w:color w:val="auto"/>
          <w:kern w:val="0"/>
          <w:sz w:val="21"/>
          <w:szCs w:val="21"/>
          <w:highlight w:val="none"/>
        </w:rPr>
      </w:pPr>
      <w:r>
        <w:rPr>
          <w:rStyle w:val="40"/>
          <w:rFonts w:hint="eastAsia" w:ascii="宋体" w:hAnsi="宋体" w:eastAsia="宋体" w:cs="宋体"/>
          <w:b w:val="0"/>
          <w:bCs w:val="0"/>
          <w:color w:val="auto"/>
          <w:kern w:val="0"/>
          <w:sz w:val="21"/>
          <w:szCs w:val="21"/>
          <w:highlight w:val="none"/>
        </w:rPr>
        <w:t>投标人拟在中标后不得分包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 w:val="21"/>
          <w:szCs w:val="21"/>
          <w:highlight w:val="none"/>
          <w:lang w:eastAsia="zh-CN"/>
        </w:rPr>
      </w:pPr>
      <w:r>
        <w:rPr>
          <w:rStyle w:val="40"/>
          <w:rFonts w:hint="eastAsia" w:ascii="宋体" w:hAnsi="宋体" w:eastAsia="宋体" w:cs="宋体"/>
          <w:color w:val="auto"/>
          <w:sz w:val="21"/>
          <w:szCs w:val="21"/>
          <w:highlight w:val="none"/>
        </w:rPr>
        <w:t xml:space="preserve">2.  </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sz w:val="21"/>
          <w:szCs w:val="21"/>
          <w:highlight w:val="none"/>
          <w:lang w:eastAsia="zh-CN"/>
        </w:rPr>
        <w:t>文件</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 xml:space="preserve">2.1 </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sz w:val="21"/>
          <w:szCs w:val="21"/>
          <w:highlight w:val="none"/>
          <w:lang w:eastAsia="zh-CN"/>
        </w:rPr>
        <w:t>文件</w:t>
      </w:r>
      <w:r>
        <w:rPr>
          <w:rStyle w:val="40"/>
          <w:rFonts w:hint="eastAsia" w:ascii="宋体" w:hAnsi="宋体" w:eastAsia="宋体" w:cs="宋体"/>
          <w:color w:val="auto"/>
          <w:sz w:val="21"/>
          <w:szCs w:val="21"/>
          <w:highlight w:val="none"/>
        </w:rPr>
        <w:t>的组成</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本</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包括：</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（1）招标公告；</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（2）投标人须知；</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（3）评标办法；</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（4）合同条款及格式；</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（5）</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格式；</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w:t>
      </w:r>
      <w:r>
        <w:rPr>
          <w:rStyle w:val="40"/>
          <w:rFonts w:hint="eastAsia" w:ascii="宋体" w:hAnsi="宋体" w:eastAsia="宋体" w:cs="宋体"/>
          <w:color w:val="auto"/>
          <w:kern w:val="0"/>
          <w:szCs w:val="21"/>
          <w:highlight w:val="none"/>
          <w:lang w:val="en-US" w:eastAsia="zh-CN"/>
        </w:rPr>
        <w:t>6</w:t>
      </w:r>
      <w:r>
        <w:rPr>
          <w:rStyle w:val="40"/>
          <w:rFonts w:hint="eastAsia" w:ascii="宋体" w:hAnsi="宋体" w:eastAsia="宋体" w:cs="宋体"/>
          <w:color w:val="auto"/>
          <w:kern w:val="0"/>
          <w:szCs w:val="21"/>
          <w:highlight w:val="none"/>
        </w:rPr>
        <w:t>）投标人须知前附表规定的其他材料。</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根据</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所作的澄清、修改，构成</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的组成部分。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sz w:val="21"/>
          <w:szCs w:val="21"/>
          <w:highlight w:val="none"/>
        </w:rPr>
        <w:t xml:space="preserve">2.2  </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sz w:val="21"/>
          <w:szCs w:val="21"/>
          <w:highlight w:val="none"/>
          <w:lang w:eastAsia="zh-CN"/>
        </w:rPr>
        <w:t>文件</w:t>
      </w:r>
      <w:r>
        <w:rPr>
          <w:rStyle w:val="40"/>
          <w:rFonts w:hint="eastAsia" w:ascii="宋体" w:hAnsi="宋体" w:eastAsia="宋体" w:cs="宋体"/>
          <w:color w:val="auto"/>
          <w:sz w:val="21"/>
          <w:szCs w:val="21"/>
          <w:highlight w:val="none"/>
        </w:rPr>
        <w:t>的修改</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rPr>
      </w:pPr>
      <w:r>
        <w:rPr>
          <w:rStyle w:val="40"/>
          <w:rFonts w:hint="eastAsia" w:ascii="宋体" w:hAnsi="宋体" w:eastAsia="宋体" w:cs="宋体"/>
          <w:color w:val="auto"/>
          <w:szCs w:val="21"/>
          <w:highlight w:val="none"/>
        </w:rPr>
        <w:t>按照本章2.2</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szCs w:val="21"/>
          <w:highlight w:val="none"/>
          <w:lang w:eastAsia="zh-CN"/>
        </w:rPr>
        <w:t>文件</w:t>
      </w:r>
      <w:r>
        <w:rPr>
          <w:rStyle w:val="40"/>
          <w:rFonts w:hint="eastAsia" w:ascii="宋体" w:hAnsi="宋体" w:eastAsia="宋体" w:cs="宋体"/>
          <w:color w:val="auto"/>
          <w:szCs w:val="21"/>
          <w:highlight w:val="none"/>
        </w:rPr>
        <w:t>的澄清相关内容及方式执行。</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highlight w:val="none"/>
          <w:lang w:eastAsia="zh-CN"/>
        </w:rPr>
      </w:pPr>
      <w:r>
        <w:rPr>
          <w:rStyle w:val="40"/>
          <w:rFonts w:hint="eastAsia" w:ascii="宋体" w:hAnsi="宋体" w:eastAsia="宋体" w:cs="宋体"/>
          <w:color w:val="auto"/>
          <w:sz w:val="21"/>
          <w:szCs w:val="21"/>
          <w:highlight w:val="none"/>
        </w:rPr>
        <w:t xml:space="preserve">3.  </w:t>
      </w:r>
      <w:r>
        <w:rPr>
          <w:rStyle w:val="40"/>
          <w:rFonts w:hint="eastAsia" w:ascii="宋体" w:hAnsi="宋体" w:eastAsia="宋体" w:cs="宋体"/>
          <w:color w:val="auto"/>
          <w:sz w:val="21"/>
          <w:szCs w:val="21"/>
          <w:highlight w:val="none"/>
          <w:lang w:eastAsia="zh-CN"/>
        </w:rPr>
        <w:t>投标文件</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3.3  投标有效期</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3.3.1  在投标人须知前附表规定的投标有效期内，投标人不得要求撤销或修改其</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3.3.2  出现特殊情况需要延长投标有效期的，招标人以通知所有投标人延长投标有效期。投标人同意延长的，应相应延长其投标保证金的有效期，但不得要求或被允许修改或撤销其</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；投标人拒绝延长的，其投标失效，但投标人有权收回其投标保证金。</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3.4  投标保证金</w:t>
      </w:r>
    </w:p>
    <w:p>
      <w:pPr>
        <w:pageBreakBefore w:val="0"/>
        <w:widowControl w:val="0"/>
        <w:kinsoku/>
        <w:wordWrap/>
        <w:overflowPunct/>
        <w:topLinePunct w:val="0"/>
        <w:autoSpaceDE/>
        <w:autoSpaceDN/>
        <w:bidi w:val="0"/>
        <w:adjustRightInd/>
        <w:snapToGrid w:val="0"/>
        <w:spacing w:line="312" w:lineRule="auto"/>
        <w:ind w:firstLine="315" w:firstLineChars="15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 3.4.1  投标人在递交</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的同时，应按投标人须知前附表规定的金额的投标保证金格式递交投标保证金，并作为其</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的组成部分。</w:t>
      </w:r>
    </w:p>
    <w:p>
      <w:pPr>
        <w:pageBreakBefore w:val="0"/>
        <w:widowControl w:val="0"/>
        <w:kinsoku/>
        <w:wordWrap/>
        <w:overflowPunct/>
        <w:topLinePunct w:val="0"/>
        <w:autoSpaceDE/>
        <w:autoSpaceDN/>
        <w:bidi w:val="0"/>
        <w:adjustRightInd/>
        <w:snapToGrid w:val="0"/>
        <w:spacing w:line="312" w:lineRule="auto"/>
        <w:ind w:left="13" w:leftChars="6" w:firstLine="405" w:firstLineChars="193"/>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3.4.2  投标人不按本章第 3.4.1 项要求提交投标保证金的，其</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作否决投标处理。</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    3.4.3  投标保证金退还：见投标人须知前附表。</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    3.4.4  有下列情形之一的，投标保证金将不予退还：</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   （1）投标人在规定的投标有效期内撤销或修改其</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   （2）中标人在收到中标通知书后，无正当理由拒签合同协议书或未按</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规定提交履约担保。</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   （3）中标人在中标公示期结束后五个工作日内未向招标人缴纳低价风险担保。</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   （4）投标人在投标活动中串通投标、弄虚作假的；</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（5）法律法规规定不予退还的其他情形。</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 xml:space="preserve">3.7  </w:t>
      </w:r>
      <w:r>
        <w:rPr>
          <w:rStyle w:val="40"/>
          <w:rFonts w:hint="eastAsia" w:ascii="宋体" w:hAnsi="宋体" w:eastAsia="宋体" w:cs="宋体"/>
          <w:color w:val="auto"/>
          <w:sz w:val="21"/>
          <w:szCs w:val="21"/>
          <w:highlight w:val="none"/>
          <w:lang w:eastAsia="zh-CN"/>
        </w:rPr>
        <w:t>投标文件</w:t>
      </w:r>
      <w:r>
        <w:rPr>
          <w:rStyle w:val="40"/>
          <w:rFonts w:hint="eastAsia" w:ascii="宋体" w:hAnsi="宋体" w:eastAsia="宋体" w:cs="宋体"/>
          <w:color w:val="auto"/>
          <w:sz w:val="21"/>
          <w:szCs w:val="21"/>
          <w:highlight w:val="none"/>
        </w:rPr>
        <w:t>的编制</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3.7.1  </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应按</w:t>
      </w:r>
      <w:r>
        <w:rPr>
          <w:rStyle w:val="40"/>
          <w:rFonts w:hint="eastAsia" w:ascii="宋体" w:hAnsi="宋体" w:eastAsia="宋体" w:cs="宋体"/>
          <w:color w:val="auto"/>
          <w:kern w:val="0"/>
          <w:szCs w:val="21"/>
          <w:highlight w:val="none"/>
          <w:lang w:eastAsia="zh-CN"/>
        </w:rPr>
        <w:t>第</w:t>
      </w:r>
      <w:r>
        <w:rPr>
          <w:rStyle w:val="40"/>
          <w:rFonts w:hint="eastAsia" w:ascii="宋体" w:hAnsi="宋体" w:eastAsia="宋体" w:cs="宋体"/>
          <w:color w:val="auto"/>
          <w:kern w:val="0"/>
          <w:szCs w:val="21"/>
          <w:highlight w:val="none"/>
          <w:lang w:val="en-US" w:eastAsia="zh-CN"/>
        </w:rPr>
        <w:t>六</w:t>
      </w:r>
      <w:r>
        <w:rPr>
          <w:rStyle w:val="40"/>
          <w:rFonts w:hint="eastAsia" w:ascii="宋体" w:hAnsi="宋体" w:eastAsia="宋体" w:cs="宋体"/>
          <w:color w:val="auto"/>
          <w:kern w:val="0"/>
          <w:szCs w:val="21"/>
          <w:highlight w:val="none"/>
          <w:lang w:eastAsia="zh-CN"/>
        </w:rPr>
        <w:t>章</w:t>
      </w:r>
      <w:r>
        <w:rPr>
          <w:rStyle w:val="40"/>
          <w:rFonts w:hint="eastAsia" w:ascii="宋体" w:hAnsi="宋体" w:eastAsia="宋体" w:cs="宋体"/>
          <w:color w:val="auto"/>
          <w:kern w:val="0"/>
          <w:szCs w:val="21"/>
          <w:highlight w:val="none"/>
        </w:rPr>
        <w:t>“</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格式”进行编写，如有必要，可以增加附页，作为</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的组成部分。其中，投标函附录在满足</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实质性要求的基础上，可以提出比</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要求更有利于招标人的承诺。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3.7.2  </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应当对</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有关工期、投标有效期、质量要求、技术标准和要求、 招标范围等实质性内容做出响应。</w:t>
      </w:r>
    </w:p>
    <w:p>
      <w:pPr>
        <w:pageBreakBefore w:val="0"/>
        <w:widowControl w:val="0"/>
        <w:kinsoku/>
        <w:wordWrap/>
        <w:overflowPunct/>
        <w:topLinePunct w:val="0"/>
        <w:autoSpaceDE/>
        <w:autoSpaceDN/>
        <w:bidi w:val="0"/>
        <w:adjustRightInd/>
        <w:snapToGrid w:val="0"/>
        <w:spacing w:line="312" w:lineRule="auto"/>
        <w:ind w:firstLine="424" w:firstLineChars="202"/>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position w:val="-2"/>
          <w:szCs w:val="21"/>
          <w:highlight w:val="none"/>
        </w:rPr>
        <w:t xml:space="preserve">3.7.3  </w:t>
      </w:r>
      <w:r>
        <w:rPr>
          <w:rStyle w:val="40"/>
          <w:rFonts w:hint="eastAsia" w:ascii="宋体" w:hAnsi="宋体" w:eastAsia="宋体" w:cs="宋体"/>
          <w:color w:val="auto"/>
          <w:kern w:val="0"/>
          <w:position w:val="-2"/>
          <w:szCs w:val="21"/>
          <w:highlight w:val="none"/>
          <w:lang w:eastAsia="zh-CN"/>
        </w:rPr>
        <w:t>投标文件</w:t>
      </w:r>
      <w:r>
        <w:rPr>
          <w:rStyle w:val="40"/>
          <w:rFonts w:hint="eastAsia" w:ascii="宋体" w:hAnsi="宋体" w:eastAsia="宋体" w:cs="宋体"/>
          <w:color w:val="auto"/>
          <w:kern w:val="0"/>
          <w:position w:val="-2"/>
          <w:szCs w:val="21"/>
          <w:highlight w:val="none"/>
        </w:rPr>
        <w:t>应用不褪色的材料书写或打印，并由投标人的法定代表人或其委托代理</w:t>
      </w:r>
      <w:r>
        <w:rPr>
          <w:rStyle w:val="40"/>
          <w:rFonts w:hint="eastAsia" w:ascii="宋体" w:hAnsi="宋体" w:eastAsia="宋体" w:cs="宋体"/>
          <w:color w:val="auto"/>
          <w:kern w:val="0"/>
          <w:szCs w:val="21"/>
          <w:highlight w:val="none"/>
        </w:rPr>
        <w:t>人签字、盖单位章。委托代理人签字的，</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应附法定代表人签署的授权委托书。</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应尽量避免涂改、行间插字或删除。如果出现上述情况，改动之处应加盖单位公章或由投标人的法定代表人或其授权的代理人签字确认。签字或盖章的具体要求见投标人须知前附表。</w:t>
      </w:r>
    </w:p>
    <w:p>
      <w:pPr>
        <w:pageBreakBefore w:val="0"/>
        <w:widowControl w:val="0"/>
        <w:kinsoku/>
        <w:wordWrap/>
        <w:overflowPunct/>
        <w:topLinePunct w:val="0"/>
        <w:autoSpaceDE/>
        <w:autoSpaceDN/>
        <w:bidi w:val="0"/>
        <w:adjustRightInd/>
        <w:snapToGrid w:val="0"/>
        <w:spacing w:line="312" w:lineRule="auto"/>
        <w:ind w:right="-164" w:firstLine="426"/>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3.7.4  </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正本一份，副本份数见投标人须知前附表。正本和副本的封面上应清楚地标记“正本”或“副本”的字样，正本和副本封面均须加盖单位公章（鲜章）。当副本和正本不一致时，以正本为准。</w:t>
      </w:r>
    </w:p>
    <w:p>
      <w:pPr>
        <w:pageBreakBefore w:val="0"/>
        <w:widowControl w:val="0"/>
        <w:kinsoku/>
        <w:wordWrap/>
        <w:overflowPunct/>
        <w:topLinePunct w:val="0"/>
        <w:autoSpaceDE/>
        <w:autoSpaceDN/>
        <w:bidi w:val="0"/>
        <w:adjustRightInd/>
        <w:snapToGrid w:val="0"/>
        <w:spacing w:line="312" w:lineRule="auto"/>
        <w:ind w:right="-109" w:firstLine="426"/>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3.7.5  </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的正本与副本应分别装订成册，并编制目录，具体装订要求见投标人须知前附表规定。</w:t>
      </w:r>
    </w:p>
    <w:p>
      <w:pPr>
        <w:pageBreakBefore w:val="0"/>
        <w:widowControl w:val="0"/>
        <w:kinsoku/>
        <w:wordWrap/>
        <w:overflowPunct/>
        <w:topLinePunct w:val="0"/>
        <w:autoSpaceDE/>
        <w:autoSpaceDN/>
        <w:bidi w:val="0"/>
        <w:adjustRightInd/>
        <w:snapToGrid w:val="0"/>
        <w:spacing w:line="312" w:lineRule="auto"/>
        <w:ind w:right="-109" w:firstLine="426"/>
        <w:jc w:val="left"/>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4.  投标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 xml:space="preserve">4.1  </w:t>
      </w:r>
      <w:r>
        <w:rPr>
          <w:rStyle w:val="40"/>
          <w:rFonts w:hint="eastAsia" w:ascii="宋体" w:hAnsi="宋体" w:eastAsia="宋体" w:cs="宋体"/>
          <w:color w:val="auto"/>
          <w:sz w:val="21"/>
          <w:szCs w:val="21"/>
          <w:highlight w:val="none"/>
          <w:lang w:eastAsia="zh-CN"/>
        </w:rPr>
        <w:t>投标文件</w:t>
      </w:r>
      <w:r>
        <w:rPr>
          <w:rStyle w:val="40"/>
          <w:rFonts w:hint="eastAsia" w:ascii="宋体" w:hAnsi="宋体" w:eastAsia="宋体" w:cs="宋体"/>
          <w:color w:val="auto"/>
          <w:sz w:val="21"/>
          <w:szCs w:val="21"/>
          <w:highlight w:val="none"/>
        </w:rPr>
        <w:t>的密封和标记</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4.1.1  </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的正本与副本密封见投标人须知前附表。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4.1.2  </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的封套上应写明的内容见投标人须知前附表。</w:t>
      </w:r>
    </w:p>
    <w:p>
      <w:pPr>
        <w:pageBreakBefore w:val="0"/>
        <w:widowControl w:val="0"/>
        <w:kinsoku/>
        <w:wordWrap/>
        <w:overflowPunct/>
        <w:topLinePunct w:val="0"/>
        <w:autoSpaceDE/>
        <w:autoSpaceDN/>
        <w:bidi w:val="0"/>
        <w:adjustRightInd/>
        <w:snapToGrid w:val="0"/>
        <w:spacing w:line="312" w:lineRule="auto"/>
        <w:ind w:left="13" w:leftChars="6" w:firstLine="344" w:firstLineChars="164"/>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4.1.3  未按本章第 4.1.1 项或第 4.1.2 项要求密封和加写标记的</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，招标人不予受理。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 xml:space="preserve">4.2  </w:t>
      </w:r>
      <w:r>
        <w:rPr>
          <w:rStyle w:val="40"/>
          <w:rFonts w:hint="eastAsia" w:ascii="宋体" w:hAnsi="宋体" w:eastAsia="宋体" w:cs="宋体"/>
          <w:color w:val="auto"/>
          <w:sz w:val="21"/>
          <w:szCs w:val="21"/>
          <w:highlight w:val="none"/>
          <w:lang w:eastAsia="zh-CN"/>
        </w:rPr>
        <w:t>投标文件</w:t>
      </w:r>
      <w:r>
        <w:rPr>
          <w:rStyle w:val="40"/>
          <w:rFonts w:hint="eastAsia" w:ascii="宋体" w:hAnsi="宋体" w:eastAsia="宋体" w:cs="宋体"/>
          <w:color w:val="auto"/>
          <w:sz w:val="21"/>
          <w:szCs w:val="21"/>
          <w:highlight w:val="none"/>
        </w:rPr>
        <w:t>的递交</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4.2.1  投标人应在规定的投标截止时间前递交</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4.2.2  投标人递交</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的地点：见投标人须知前附表。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4.2.3  除投标人须知前附表另有规定外，投标人所递交的</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不予退还。</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4.2.4 逾期送达的或者未送达指定地点的</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，招标人不予受理。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 xml:space="preserve">4.3  </w:t>
      </w:r>
      <w:r>
        <w:rPr>
          <w:rStyle w:val="40"/>
          <w:rFonts w:hint="eastAsia" w:ascii="宋体" w:hAnsi="宋体" w:eastAsia="宋体" w:cs="宋体"/>
          <w:color w:val="auto"/>
          <w:sz w:val="21"/>
          <w:szCs w:val="21"/>
          <w:highlight w:val="none"/>
          <w:lang w:eastAsia="zh-CN"/>
        </w:rPr>
        <w:t>投标文件</w:t>
      </w:r>
      <w:r>
        <w:rPr>
          <w:rStyle w:val="40"/>
          <w:rFonts w:hint="eastAsia" w:ascii="宋体" w:hAnsi="宋体" w:eastAsia="宋体" w:cs="宋体"/>
          <w:color w:val="auto"/>
          <w:sz w:val="21"/>
          <w:szCs w:val="21"/>
          <w:highlight w:val="none"/>
        </w:rPr>
        <w:t>的修改与撤回</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4.3.1  在规定的投标截止时间前，投标人可以修改或撤回已递交的</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，但应以书面形式通知招标人。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4.3.2  投标人修改或撤回已递交</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的书面通知应按照本章第3.7.3项的要求签字或盖章。招标人收到书面通知后，向投标人出具签收凭证。</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4.3.3  修改的内容为</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的组成部分。修改的</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应按照本章第3条、第4条规定进行编制、密封、标记和递交，并标明“修改”字样。</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5.  开标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5.1  开标时间和地点</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招标人在规定的投标截止时间（开标时间）和投标人须知前附表规定的地点公开开标，并邀请所有投标人的法定代表人或其委托代理人准时参加。</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6.  评标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6.2  评标原则</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 xml:space="preserve">    评标活动遵循公平、公正、科学和择优的原则。</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6.3  评标</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投标人资格审查小组按照第三章“评标办法”规定的方法、评审因素、标准和程序对</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进行评审。第三章“评标办法”没有规定的方法、评审因素和标准，不得作为评标依据。</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7.  合同授予</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7.1  定标方式</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除投标人须知前附表规定投标人资格审查小组直接确定中标人外，招标人依据投标人资格审查小组推荐的中标候选人确定中标人，投标人资格审查小组推荐中标候选人的人数见投标人须知前附表。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7.2  中标通知</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在本章第 3.3 款规定的投标有效期内，招标人以书面形式向中标人发出中标通知书，同 时将中标结果通知未中标的投标人。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7.3  履约担保</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7.3.1  在签订合同前，中标人应按投标人须知前附表规定的金额、担保形式和</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第四章“合同条款及格式”规定的履约担保格式向招标人提交履约担保。联合体中标的，其履约担保由牵头人递交，并应符合投标人须知前附表规定的金额、担保形式和</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第四章“合同条款及格式”规定的履约担保格式要求。</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7.3.2  中标人不能按本章第 7.3.1 项要求提交履约担保的，视为放弃中标，其投标保证金不予退还，给招标人造成的损失超过投标保证金数额的，中标人还应当对超过部分予以赔偿。</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7.4  签订合同</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7.4.1 招标人和中标人应当自中标通知书发出之日起</w:t>
      </w:r>
      <w:r>
        <w:rPr>
          <w:rStyle w:val="40"/>
          <w:rFonts w:hint="eastAsia" w:ascii="宋体" w:hAnsi="宋体" w:eastAsia="宋体" w:cs="宋体"/>
          <w:color w:val="auto"/>
          <w:kern w:val="0"/>
          <w:szCs w:val="21"/>
          <w:highlight w:val="none"/>
          <w:lang w:val="en-US" w:eastAsia="zh-CN"/>
        </w:rPr>
        <w:t>30</w:t>
      </w:r>
      <w:r>
        <w:rPr>
          <w:rStyle w:val="40"/>
          <w:rFonts w:hint="eastAsia" w:ascii="宋体" w:hAnsi="宋体" w:eastAsia="宋体" w:cs="宋体"/>
          <w:color w:val="auto"/>
          <w:kern w:val="0"/>
          <w:szCs w:val="21"/>
          <w:highlight w:val="none"/>
        </w:rPr>
        <w:t>天内，根据</w:t>
      </w:r>
      <w:r>
        <w:rPr>
          <w:rFonts w:hint="eastAsia" w:ascii="宋体" w:hAnsi="宋体" w:eastAsia="宋体" w:cs="宋体"/>
          <w:color w:val="auto"/>
          <w:kern w:val="0"/>
          <w:sz w:val="21"/>
          <w:szCs w:val="21"/>
          <w:highlight w:val="none"/>
          <w:lang w:val="en-US" w:eastAsia="zh-CN"/>
        </w:rPr>
        <w:t>招标</w:t>
      </w:r>
      <w:r>
        <w:rPr>
          <w:rStyle w:val="40"/>
          <w:rFonts w:hint="eastAsia" w:ascii="宋体" w:hAnsi="宋体" w:eastAsia="宋体" w:cs="宋体"/>
          <w:color w:val="auto"/>
          <w:kern w:val="0"/>
          <w:szCs w:val="21"/>
          <w:highlight w:val="none"/>
          <w:lang w:eastAsia="zh-CN"/>
        </w:rPr>
        <w:t>文件</w:t>
      </w:r>
      <w:r>
        <w:rPr>
          <w:rStyle w:val="40"/>
          <w:rFonts w:hint="eastAsia" w:ascii="宋体" w:hAnsi="宋体" w:eastAsia="宋体" w:cs="宋体"/>
          <w:color w:val="auto"/>
          <w:kern w:val="0"/>
          <w:szCs w:val="21"/>
          <w:highlight w:val="none"/>
        </w:rPr>
        <w:t>和中标人的</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订立书面合同。中标人无正当理由拒签合同的，招标人取消其中标资格，其投标保证金不予退还；给招标人造成的损失超过投标保证金数额的，中标人还应当对超过部分予以赔偿。</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7.4.2  发出中标通知书后，招标人无正当理由拒签合同的，招标人向中标人退还投标保证金；给中标人造成损失的，还应当赔偿损失。</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8.  重新招标和不再招标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8.1  重新招标</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有下列情形之一的，招标人将重新招标：</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（1）投标截止时间止，投标人少于 3 个的；</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（2）经投标人资格审查小组评审后否决所有投标的。</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（3）法律法规规定的其它情形。</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8.2  二次招标和不再招标</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重新招标后投标人仍少于3个，按法定程序开标和评标，确定中标人。经评审无合格投标人，属于必须审批或核准的工程建设项目，经原审批或核准部门批准后可以不再进行招标。</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9.  纪律和监督</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9.1  对招标人的纪律要求</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kern w:val="0"/>
          <w:szCs w:val="21"/>
          <w:highlight w:val="none"/>
        </w:rPr>
        <w:t>招标人不得泄漏招标投标活动中应当保密的情况和资料，不得与投标人串通损害国家利益、社会公共利益或者他人合法权益，</w:t>
      </w:r>
      <w:r>
        <w:rPr>
          <w:rStyle w:val="40"/>
          <w:rFonts w:hint="eastAsia" w:ascii="宋体" w:hAnsi="宋体" w:eastAsia="宋体" w:cs="宋体"/>
          <w:color w:val="auto"/>
          <w:szCs w:val="21"/>
          <w:highlight w:val="none"/>
        </w:rPr>
        <w:t>禁止招标人与投标人串通投标。</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有下列情形之一的，属于招标人与投标人串通投标：</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（1）招标人在开标前开启</w:t>
      </w:r>
      <w:r>
        <w:rPr>
          <w:rStyle w:val="40"/>
          <w:rFonts w:hint="eastAsia" w:ascii="宋体" w:hAnsi="宋体" w:eastAsia="宋体" w:cs="宋体"/>
          <w:color w:val="auto"/>
          <w:szCs w:val="21"/>
          <w:highlight w:val="none"/>
          <w:lang w:eastAsia="zh-CN"/>
        </w:rPr>
        <w:t>投标文件</w:t>
      </w:r>
      <w:r>
        <w:rPr>
          <w:rStyle w:val="40"/>
          <w:rFonts w:hint="eastAsia" w:ascii="宋体" w:hAnsi="宋体" w:eastAsia="宋体" w:cs="宋体"/>
          <w:color w:val="auto"/>
          <w:szCs w:val="21"/>
          <w:highlight w:val="none"/>
        </w:rPr>
        <w:t>并将有关信息泄露给其他投标人;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（2）招标人直接或者间接向投标人泄露标底、投标人资格审查小组成员等信息；</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（3）招标人明示或者暗示投标人压低或者抬高投标报价；</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highlight w:val="none"/>
        </w:rPr>
      </w:pPr>
      <w:r>
        <w:rPr>
          <w:rStyle w:val="40"/>
          <w:rFonts w:hint="eastAsia" w:ascii="宋体" w:hAnsi="宋体" w:eastAsia="宋体" w:cs="宋体"/>
          <w:color w:val="auto"/>
          <w:szCs w:val="21"/>
          <w:highlight w:val="none"/>
        </w:rPr>
        <w:t>  （4）招标人授意投标人撤换、修改</w:t>
      </w:r>
      <w:r>
        <w:rPr>
          <w:rStyle w:val="40"/>
          <w:rFonts w:hint="eastAsia" w:ascii="宋体" w:hAnsi="宋体" w:eastAsia="宋体" w:cs="宋体"/>
          <w:color w:val="auto"/>
          <w:szCs w:val="21"/>
          <w:highlight w:val="none"/>
          <w:lang w:eastAsia="zh-CN"/>
        </w:rPr>
        <w:t>投标文件</w:t>
      </w:r>
      <w:r>
        <w:rPr>
          <w:rStyle w:val="40"/>
          <w:rFonts w:hint="eastAsia" w:ascii="宋体" w:hAnsi="宋体" w:eastAsia="宋体" w:cs="宋体"/>
          <w:color w:val="auto"/>
          <w:szCs w:val="21"/>
          <w:highlight w:val="none"/>
        </w:rPr>
        <w:t>；</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（5）招标人明示或者暗示投标人为特定投标人中标提供方便；</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szCs w:val="21"/>
          <w:highlight w:val="none"/>
        </w:rPr>
        <w:t>  （6）招标人与投标人为谋求特定投标人中标而采取的其他串通行为。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9.2  对投标人的纪律要求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highlight w:val="none"/>
          <w:lang w:eastAsia="zh-CN"/>
        </w:rPr>
      </w:pPr>
      <w:r>
        <w:rPr>
          <w:rStyle w:val="40"/>
          <w:rFonts w:hint="eastAsia" w:ascii="宋体" w:hAnsi="宋体" w:eastAsia="宋体" w:cs="宋体"/>
          <w:color w:val="auto"/>
          <w:kern w:val="0"/>
          <w:szCs w:val="21"/>
          <w:highlight w:val="none"/>
        </w:rPr>
        <w:t>投标人不得相互串通投标或者与招标人串通投标，不得向招标人或者投标人资格审查小组成员行贿谋取中标，不得以他人名义投标或者以其他方式弄虚作假骗取中标；投标人不得以任何方式干扰、影响评标工作。</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有下列情形之一的，属于投标人相互串通投标：</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（1）投标人之间协商投标报价等</w:t>
      </w:r>
      <w:r>
        <w:rPr>
          <w:rStyle w:val="40"/>
          <w:rFonts w:hint="eastAsia" w:ascii="宋体" w:hAnsi="宋体" w:eastAsia="宋体" w:cs="宋体"/>
          <w:color w:val="auto"/>
          <w:szCs w:val="21"/>
          <w:highlight w:val="none"/>
          <w:lang w:eastAsia="zh-CN"/>
        </w:rPr>
        <w:t>投标文件</w:t>
      </w:r>
      <w:r>
        <w:rPr>
          <w:rStyle w:val="40"/>
          <w:rFonts w:hint="eastAsia" w:ascii="宋体" w:hAnsi="宋体" w:eastAsia="宋体" w:cs="宋体"/>
          <w:color w:val="auto"/>
          <w:szCs w:val="21"/>
          <w:highlight w:val="none"/>
        </w:rPr>
        <w:t>的实质性内容；</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（2）投标人之间约定中标人；</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（3）投标人之间约定部分投标人放弃投标或者中标；</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（4）属于同一集团、协会、商会等组织成员的投标人按照该组织要求协同投标；</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（5）投标人之间为谋取中标或者排斥特定投标人而采取的其他联合行动。</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有下列情形之一的，视为投标人相互串通投标：</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（1）不同投标人的</w:t>
      </w:r>
      <w:r>
        <w:rPr>
          <w:rStyle w:val="40"/>
          <w:rFonts w:hint="eastAsia" w:ascii="宋体" w:hAnsi="宋体" w:eastAsia="宋体" w:cs="宋体"/>
          <w:color w:val="auto"/>
          <w:szCs w:val="21"/>
          <w:highlight w:val="none"/>
          <w:lang w:eastAsia="zh-CN"/>
        </w:rPr>
        <w:t>投标文件</w:t>
      </w:r>
      <w:r>
        <w:rPr>
          <w:rStyle w:val="40"/>
          <w:rFonts w:hint="eastAsia" w:ascii="宋体" w:hAnsi="宋体" w:eastAsia="宋体" w:cs="宋体"/>
          <w:color w:val="auto"/>
          <w:szCs w:val="21"/>
          <w:highlight w:val="none"/>
        </w:rPr>
        <w:t>由同一单位或者个人编制；</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（2）不同投标人委托同一单位或者个人办理投标事宜；</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（3）不同投标人的</w:t>
      </w:r>
      <w:r>
        <w:rPr>
          <w:rStyle w:val="40"/>
          <w:rFonts w:hint="eastAsia" w:ascii="宋体" w:hAnsi="宋体" w:eastAsia="宋体" w:cs="宋体"/>
          <w:color w:val="auto"/>
          <w:szCs w:val="21"/>
          <w:highlight w:val="none"/>
          <w:lang w:eastAsia="zh-CN"/>
        </w:rPr>
        <w:t>投标文件</w:t>
      </w:r>
      <w:r>
        <w:rPr>
          <w:rStyle w:val="40"/>
          <w:rFonts w:hint="eastAsia" w:ascii="宋体" w:hAnsi="宋体" w:eastAsia="宋体" w:cs="宋体"/>
          <w:color w:val="auto"/>
          <w:szCs w:val="21"/>
          <w:highlight w:val="none"/>
        </w:rPr>
        <w:t>载明的项目管理成员为同一人；</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（4）不同投标人的</w:t>
      </w:r>
      <w:r>
        <w:rPr>
          <w:rStyle w:val="40"/>
          <w:rFonts w:hint="eastAsia" w:ascii="宋体" w:hAnsi="宋体" w:eastAsia="宋体" w:cs="宋体"/>
          <w:color w:val="auto"/>
          <w:szCs w:val="21"/>
          <w:highlight w:val="none"/>
          <w:lang w:eastAsia="zh-CN"/>
        </w:rPr>
        <w:t>投标文件</w:t>
      </w:r>
      <w:r>
        <w:rPr>
          <w:rStyle w:val="40"/>
          <w:rFonts w:hint="eastAsia" w:ascii="宋体" w:hAnsi="宋体" w:eastAsia="宋体" w:cs="宋体"/>
          <w:color w:val="auto"/>
          <w:szCs w:val="21"/>
          <w:highlight w:val="none"/>
        </w:rPr>
        <w:t>异常一致或者投标报价呈规律性差异；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（5）不同投标人的</w:t>
      </w:r>
      <w:r>
        <w:rPr>
          <w:rStyle w:val="40"/>
          <w:rFonts w:hint="eastAsia" w:ascii="宋体" w:hAnsi="宋体" w:eastAsia="宋体" w:cs="宋体"/>
          <w:color w:val="auto"/>
          <w:szCs w:val="21"/>
          <w:highlight w:val="none"/>
          <w:lang w:eastAsia="zh-CN"/>
        </w:rPr>
        <w:t>投标文件</w:t>
      </w:r>
      <w:r>
        <w:rPr>
          <w:rStyle w:val="40"/>
          <w:rFonts w:hint="eastAsia" w:ascii="宋体" w:hAnsi="宋体" w:eastAsia="宋体" w:cs="宋体"/>
          <w:color w:val="auto"/>
          <w:szCs w:val="21"/>
          <w:highlight w:val="none"/>
        </w:rPr>
        <w:t>相互混装；</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highlight w:val="none"/>
        </w:rPr>
      </w:pPr>
      <w:r>
        <w:rPr>
          <w:rStyle w:val="40"/>
          <w:rFonts w:hint="eastAsia" w:ascii="宋体" w:hAnsi="宋体" w:eastAsia="宋体" w:cs="宋体"/>
          <w:color w:val="auto"/>
          <w:szCs w:val="21"/>
          <w:highlight w:val="none"/>
        </w:rPr>
        <w:t>  （6）不同投标人的投标保证金从同一单位或者个人的账户转出。</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使用通过受让或者租借等方式获取的资格、资质证书投标的，属于以他人名义投标。</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投标人有下列情形之一的，属于以其他方式弄虚作假的行为：</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（一）使用伪造、变造的许可证件；</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（二）提供虚假的财务状况或者业绩；</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（三）提供虚假的项目负责人或者主要技术人员简历、劳动关系证明；</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szCs w:val="21"/>
          <w:highlight w:val="none"/>
          <w:lang w:eastAsia="zh-CN"/>
        </w:rPr>
      </w:pPr>
      <w:r>
        <w:rPr>
          <w:rStyle w:val="40"/>
          <w:rFonts w:hint="eastAsia" w:ascii="宋体" w:hAnsi="宋体" w:eastAsia="宋体" w:cs="宋体"/>
          <w:color w:val="auto"/>
          <w:szCs w:val="21"/>
          <w:highlight w:val="none"/>
        </w:rPr>
        <w:t>  （四）提供虚假的信用状况；</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szCs w:val="21"/>
          <w:highlight w:val="none"/>
        </w:rPr>
        <w:t>  （五）其他弄虚作假的行为。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9.3  对投标人资格审查小组成员的纪律要求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投标人资格审查小组成员不得收受他人的财物或者其他好处，不得向他人透漏对</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评审和比较、中标候选人的推荐情况以及评标有关的其他情况。在评标活动中，投标人资格审查小组成员不得擅离职守，影响评标程序正常进行，不得使用第三章“评标办法”没有规定的评审因素和标准进行评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9.4  对与评标活动有关的工作人员的纪律要求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与评标活动有关的工作人员不得收受他人的财物或者其他好处，不得向他人透漏对</w:t>
      </w:r>
      <w:r>
        <w:rPr>
          <w:rStyle w:val="40"/>
          <w:rFonts w:hint="eastAsia" w:ascii="宋体" w:hAnsi="宋体" w:eastAsia="宋体" w:cs="宋体"/>
          <w:color w:val="auto"/>
          <w:kern w:val="0"/>
          <w:szCs w:val="21"/>
          <w:highlight w:val="none"/>
          <w:lang w:eastAsia="zh-CN"/>
        </w:rPr>
        <w:t>投标文件</w:t>
      </w:r>
      <w:r>
        <w:rPr>
          <w:rStyle w:val="40"/>
          <w:rFonts w:hint="eastAsia" w:ascii="宋体" w:hAnsi="宋体" w:eastAsia="宋体" w:cs="宋体"/>
          <w:color w:val="auto"/>
          <w:kern w:val="0"/>
          <w:szCs w:val="21"/>
          <w:highlight w:val="none"/>
        </w:rPr>
        <w:t>的评审和比较、中标候选人的推荐情况以及与评标有关的其他情况。在评标活动中，与评标活动有关的工作人员不得擅离职守，影响评标程序正常进行。</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9.5  投诉</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投标人和其他利害关系人认为本次招标活动违反法律、法规和规章规定的，有权向有关行政监督部门投诉。</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highlight w:val="none"/>
        </w:rPr>
      </w:pPr>
      <w:r>
        <w:rPr>
          <w:rStyle w:val="40"/>
          <w:rFonts w:hint="eastAsia" w:ascii="宋体" w:hAnsi="宋体" w:eastAsia="宋体" w:cs="宋体"/>
          <w:color w:val="auto"/>
          <w:sz w:val="21"/>
          <w:szCs w:val="21"/>
          <w:highlight w:val="none"/>
        </w:rPr>
        <w:t>10. 需要补充的其他内容</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highlight w:val="none"/>
        </w:rPr>
      </w:pPr>
      <w:r>
        <w:rPr>
          <w:rStyle w:val="40"/>
          <w:rFonts w:hint="eastAsia" w:ascii="宋体" w:hAnsi="宋体" w:eastAsia="宋体" w:cs="宋体"/>
          <w:color w:val="auto"/>
          <w:kern w:val="0"/>
          <w:szCs w:val="21"/>
          <w:highlight w:val="none"/>
        </w:rPr>
        <w:t>需要补充的其他内容：见</w:t>
      </w:r>
      <w:bookmarkStart w:id="14" w:name="_Hlk79910629"/>
      <w:r>
        <w:rPr>
          <w:rStyle w:val="40"/>
          <w:rFonts w:hint="eastAsia" w:ascii="宋体" w:hAnsi="宋体" w:eastAsia="宋体" w:cs="宋体"/>
          <w:color w:val="auto"/>
          <w:kern w:val="0"/>
          <w:szCs w:val="21"/>
          <w:highlight w:val="none"/>
        </w:rPr>
        <w:t>投标人须知前附表</w:t>
      </w:r>
      <w:bookmarkEnd w:id="14"/>
      <w:r>
        <w:rPr>
          <w:rStyle w:val="40"/>
          <w:rFonts w:hint="eastAsia" w:ascii="宋体" w:hAnsi="宋体" w:eastAsia="宋体" w:cs="宋体"/>
          <w:color w:val="auto"/>
          <w:kern w:val="0"/>
          <w:szCs w:val="21"/>
          <w:highlight w:val="none"/>
        </w:rPr>
        <w:t>.</w:t>
      </w:r>
    </w:p>
    <w:p>
      <w:pPr>
        <w:pStyle w:val="44"/>
        <w:spacing w:line="240" w:lineRule="auto"/>
        <w:ind w:firstLine="597" w:firstLineChars="249"/>
        <w:jc w:val="center"/>
        <w:outlineLvl w:val="0"/>
        <w:rPr>
          <w:rStyle w:val="45"/>
          <w:rFonts w:hint="eastAsia" w:ascii="宋体" w:hAnsi="宋体" w:eastAsia="宋体" w:cs="宋体"/>
          <w:color w:val="auto"/>
          <w:szCs w:val="21"/>
          <w:highlight w:val="none"/>
        </w:rPr>
      </w:pPr>
      <w:r>
        <w:rPr>
          <w:rStyle w:val="40"/>
          <w:rFonts w:hint="eastAsia" w:ascii="宋体" w:hAnsi="宋体" w:eastAsia="宋体" w:cs="宋体"/>
          <w:color w:val="auto"/>
          <w:kern w:val="0"/>
          <w:highlight w:val="none"/>
        </w:rPr>
        <w:br w:type="page"/>
      </w:r>
      <w:bookmarkEnd w:id="12"/>
      <w:bookmarkStart w:id="15" w:name="_Toc21311"/>
      <w:bookmarkStart w:id="16" w:name="_Toc16879"/>
      <w:r>
        <w:rPr>
          <w:rStyle w:val="45"/>
          <w:rFonts w:hint="eastAsia" w:ascii="宋体" w:hAnsi="宋体" w:eastAsia="宋体" w:cs="宋体"/>
          <w:b/>
          <w:bCs/>
          <w:color w:val="auto"/>
          <w:kern w:val="0"/>
          <w:sz w:val="44"/>
          <w:szCs w:val="44"/>
          <w:highlight w:val="none"/>
        </w:rPr>
        <w:t>第三章  评标办法（综合评估法）</w:t>
      </w:r>
      <w:bookmarkEnd w:id="15"/>
      <w:bookmarkEnd w:id="16"/>
    </w:p>
    <w:p>
      <w:pPr>
        <w:pStyle w:val="4"/>
        <w:spacing w:before="100" w:after="100" w:line="360" w:lineRule="auto"/>
        <w:rPr>
          <w:rStyle w:val="45"/>
          <w:rFonts w:hint="eastAsia" w:ascii="宋体" w:hAnsi="宋体" w:eastAsia="宋体" w:cs="宋体"/>
          <w:color w:val="auto"/>
          <w:highlight w:val="none"/>
        </w:rPr>
      </w:pPr>
      <w:bookmarkStart w:id="17" w:name="_Toc57905896"/>
      <w:bookmarkStart w:id="18" w:name="_Toc14663"/>
      <w:bookmarkStart w:id="19" w:name="_Toc509218775"/>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评标办法前附表</w:t>
      </w:r>
      <w:bookmarkEnd w:id="17"/>
      <w:bookmarkEnd w:id="18"/>
      <w:bookmarkEnd w:id="19"/>
    </w:p>
    <w:tbl>
      <w:tblPr>
        <w:tblStyle w:val="22"/>
        <w:tblW w:w="9078"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7"/>
        <w:gridCol w:w="761"/>
        <w:gridCol w:w="440"/>
        <w:gridCol w:w="553"/>
        <w:gridCol w:w="474"/>
        <w:gridCol w:w="1106"/>
        <w:gridCol w:w="1458"/>
        <w:gridCol w:w="3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highlight w:val="none"/>
              </w:rPr>
            </w:pPr>
            <w:r>
              <w:rPr>
                <w:rStyle w:val="45"/>
                <w:rFonts w:hint="eastAsia" w:ascii="宋体" w:hAnsi="宋体" w:eastAsia="宋体" w:cs="宋体"/>
                <w:b/>
                <w:color w:val="auto"/>
                <w:kern w:val="0"/>
                <w:sz w:val="21"/>
                <w:szCs w:val="21"/>
                <w:highlight w:val="none"/>
              </w:rPr>
              <w:t>条款号</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highlight w:val="none"/>
              </w:rPr>
            </w:pPr>
            <w:r>
              <w:rPr>
                <w:rStyle w:val="45"/>
                <w:rFonts w:hint="eastAsia" w:ascii="宋体" w:hAnsi="宋体" w:eastAsia="宋体" w:cs="宋体"/>
                <w:b/>
                <w:color w:val="auto"/>
                <w:kern w:val="0"/>
                <w:sz w:val="21"/>
                <w:szCs w:val="21"/>
                <w:highlight w:val="none"/>
              </w:rPr>
              <w:t>评审因素</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highlight w:val="none"/>
              </w:rPr>
            </w:pPr>
            <w:r>
              <w:rPr>
                <w:rStyle w:val="45"/>
                <w:rFonts w:hint="eastAsia" w:ascii="宋体" w:hAnsi="宋体" w:eastAsia="宋体" w:cs="宋体"/>
                <w:b/>
                <w:color w:val="auto"/>
                <w:kern w:val="0"/>
                <w:sz w:val="21"/>
                <w:szCs w:val="21"/>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508"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lang w:val="en-US"/>
              </w:rPr>
            </w:pPr>
            <w:r>
              <w:rPr>
                <w:rStyle w:val="45"/>
                <w:rFonts w:hint="eastAsia" w:ascii="宋体" w:hAnsi="宋体" w:eastAsia="宋体" w:cs="宋体"/>
                <w:color w:val="auto"/>
                <w:kern w:val="0"/>
                <w:sz w:val="21"/>
                <w:szCs w:val="21"/>
                <w:highlight w:val="none"/>
                <w:lang w:val="en-US"/>
              </w:rPr>
              <w:t>1</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评标办法</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本次评标采用综合评估法</w:t>
            </w:r>
            <w:r>
              <w:rPr>
                <w:rFonts w:hint="eastAsia" w:ascii="宋体" w:hAnsi="宋体" w:eastAsia="宋体" w:cs="宋体"/>
                <w:color w:val="auto"/>
                <w:spacing w:val="-47"/>
                <w:kern w:val="0"/>
                <w:sz w:val="21"/>
                <w:szCs w:val="21"/>
                <w:highlight w:val="none"/>
              </w:rPr>
              <w:t>。</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 xml:space="preserve">按照本章第 </w:t>
            </w:r>
            <w:r>
              <w:rPr>
                <w:rFonts w:hint="eastAsia" w:ascii="宋体" w:hAnsi="宋体" w:eastAsia="宋体" w:cs="宋体"/>
                <w:color w:val="auto"/>
                <w:spacing w:val="1"/>
                <w:kern w:val="0"/>
                <w:sz w:val="21"/>
                <w:szCs w:val="21"/>
                <w:highlight w:val="none"/>
              </w:rPr>
              <w:t>2</w:t>
            </w:r>
            <w:r>
              <w:rPr>
                <w:rFonts w:hint="eastAsia" w:ascii="宋体" w:hAnsi="宋体" w:eastAsia="宋体" w:cs="宋体"/>
                <w:color w:val="auto"/>
                <w:spacing w:val="-1"/>
                <w:kern w:val="0"/>
                <w:sz w:val="21"/>
                <w:szCs w:val="21"/>
                <w:highlight w:val="none"/>
              </w:rPr>
              <w:t>.</w:t>
            </w:r>
            <w:r>
              <w:rPr>
                <w:rFonts w:hint="eastAsia" w:ascii="宋体" w:hAnsi="宋体" w:eastAsia="宋体" w:cs="宋体"/>
                <w:color w:val="auto"/>
                <w:kern w:val="0"/>
                <w:sz w:val="21"/>
                <w:szCs w:val="21"/>
                <w:highlight w:val="none"/>
              </w:rPr>
              <w:t>2</w:t>
            </w:r>
            <w:r>
              <w:rPr>
                <w:rFonts w:hint="eastAsia" w:ascii="宋体" w:hAnsi="宋体" w:eastAsia="宋体" w:cs="宋体"/>
                <w:color w:val="auto"/>
                <w:spacing w:val="1"/>
                <w:kern w:val="0"/>
                <w:sz w:val="21"/>
                <w:szCs w:val="21"/>
                <w:highlight w:val="none"/>
              </w:rPr>
              <w:t xml:space="preserve"> </w:t>
            </w:r>
            <w:r>
              <w:rPr>
                <w:rFonts w:hint="eastAsia" w:ascii="宋体" w:hAnsi="宋体" w:eastAsia="宋体" w:cs="宋体"/>
                <w:color w:val="auto"/>
                <w:kern w:val="0"/>
                <w:sz w:val="21"/>
                <w:szCs w:val="21"/>
                <w:highlight w:val="none"/>
              </w:rPr>
              <w:t>款</w:t>
            </w:r>
            <w:r>
              <w:rPr>
                <w:rFonts w:hint="eastAsia" w:ascii="宋体" w:hAnsi="宋体" w:eastAsia="宋体" w:cs="宋体"/>
                <w:color w:val="auto"/>
                <w:spacing w:val="-1"/>
                <w:kern w:val="0"/>
                <w:sz w:val="21"/>
                <w:szCs w:val="21"/>
                <w:highlight w:val="none"/>
              </w:rPr>
              <w:t>规</w:t>
            </w:r>
            <w:r>
              <w:rPr>
                <w:rFonts w:hint="eastAsia" w:ascii="宋体" w:hAnsi="宋体" w:eastAsia="宋体" w:cs="宋体"/>
                <w:color w:val="auto"/>
                <w:kern w:val="0"/>
                <w:sz w:val="21"/>
                <w:szCs w:val="21"/>
                <w:highlight w:val="none"/>
              </w:rPr>
              <w:t>定的评分标准进行打分，按得分由高到低顺序推荐中标候选人</w:t>
            </w:r>
            <w:r>
              <w:rPr>
                <w:rFonts w:hint="eastAsia" w:ascii="宋体" w:hAnsi="宋体" w:eastAsia="宋体" w:cs="宋体"/>
                <w:color w:val="auto"/>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4"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2.1.1</w:t>
            </w:r>
          </w:p>
        </w:tc>
        <w:tc>
          <w:tcPr>
            <w:tcW w:w="76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资格评审标准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资质条件</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9"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营业执照</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业绩要求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财务要求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安全生产条件</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项目经理资格要求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8"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2.1.2</w:t>
            </w:r>
          </w:p>
        </w:tc>
        <w:tc>
          <w:tcPr>
            <w:tcW w:w="761" w:type="dxa"/>
            <w:vMerge w:val="restart"/>
            <w:tcBorders>
              <w:top w:val="single" w:color="000000" w:sz="4" w:space="0"/>
              <w:lef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形式评审标</w:t>
            </w:r>
            <w:r>
              <w:rPr>
                <w:rFonts w:hint="eastAsia" w:ascii="宋体" w:hAnsi="宋体" w:eastAsia="宋体" w:cs="宋体"/>
                <w:color w:val="auto"/>
                <w:kern w:val="0"/>
                <w:sz w:val="21"/>
                <w:szCs w:val="21"/>
                <w:highlight w:val="none"/>
                <w:lang w:eastAsia="zh-CN"/>
              </w:rPr>
              <w:t>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投标人名称</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left w:val="single" w:color="000000" w:sz="4" w:space="0"/>
            </w:tcBorders>
          </w:tcPr>
          <w:p>
            <w:pPr>
              <w:keepNext w:val="0"/>
              <w:keepLines w:val="0"/>
              <w:pageBreakBefore w:val="0"/>
              <w:widowControl/>
              <w:kinsoku/>
              <w:wordWrap/>
              <w:overflowPunct/>
              <w:topLinePunct w:val="0"/>
              <w:bidi w:val="0"/>
              <w:snapToGrid w:val="0"/>
              <w:spacing w:line="312" w:lineRule="auto"/>
              <w:jc w:val="left"/>
              <w:textAlignment w:val="baseline"/>
              <w:rPr>
                <w:rStyle w:val="45"/>
                <w:rFonts w:hint="eastAsia" w:ascii="宋体" w:hAnsi="宋体" w:eastAsia="宋体" w:cs="宋体"/>
                <w:color w:val="auto"/>
                <w:kern w:val="0"/>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投标函签字盖章</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投标函格式规定签字、盖章的位置有法定代表人或其委托代理人签字（或盖章）、加盖单位法人章。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left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投标文件格式</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9"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投标文件份数</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报价唯一</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只能有一个有效报价，在</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kern w:val="0"/>
                <w:sz w:val="21"/>
                <w:szCs w:val="21"/>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投标文件的签署</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第</w:t>
            </w:r>
            <w:r>
              <w:rPr>
                <w:rFonts w:hint="eastAsia" w:ascii="宋体" w:hAnsi="宋体" w:eastAsia="宋体" w:cs="宋体"/>
                <w:color w:val="auto"/>
                <w:kern w:val="0"/>
                <w:sz w:val="21"/>
                <w:szCs w:val="21"/>
                <w:highlight w:val="none"/>
                <w:lang w:val="en-US" w:eastAsia="zh-CN"/>
              </w:rPr>
              <w:t>六</w:t>
            </w:r>
            <w:r>
              <w:rPr>
                <w:rFonts w:hint="eastAsia" w:ascii="宋体" w:hAnsi="宋体" w:eastAsia="宋体" w:cs="宋体"/>
                <w:color w:val="auto"/>
                <w:kern w:val="0"/>
                <w:sz w:val="21"/>
                <w:szCs w:val="21"/>
                <w:highlight w:val="none"/>
                <w:lang w:eastAsia="zh-CN"/>
              </w:rPr>
              <w:t>章</w:t>
            </w:r>
            <w:r>
              <w:rPr>
                <w:rFonts w:hint="eastAsia" w:ascii="宋体" w:hAnsi="宋体" w:eastAsia="宋体" w:cs="宋体"/>
                <w:color w:val="auto"/>
                <w:kern w:val="0"/>
                <w:sz w:val="21"/>
                <w:szCs w:val="21"/>
                <w:highlight w:val="none"/>
              </w:rPr>
              <w:t xml:space="preserve"> 投标文件格式要求法定代表人或其委托代理人签字（或盖章）的须齐全。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委托代理人</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bidi w:val="0"/>
              <w:snapToGrid w:val="0"/>
              <w:spacing w:line="312" w:lineRule="auto"/>
              <w:ind w:firstLine="210" w:firstLineChars="100"/>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kern w:val="0"/>
                <w:sz w:val="21"/>
                <w:szCs w:val="21"/>
                <w:highlight w:val="none"/>
              </w:rPr>
              <w:t>2.1.3</w:t>
            </w:r>
          </w:p>
        </w:tc>
        <w:tc>
          <w:tcPr>
            <w:tcW w:w="76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响应性评审标准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投标报价</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ind w:firstLine="415" w:firstLineChars="198"/>
              <w:rPr>
                <w:rStyle w:val="45"/>
                <w:rFonts w:hint="eastAsia" w:ascii="宋体" w:hAnsi="宋体" w:eastAsia="宋体" w:cs="宋体"/>
                <w:color w:val="auto"/>
                <w:kern w:val="0"/>
                <w:sz w:val="21"/>
                <w:szCs w:val="21"/>
                <w:highlight w:val="none"/>
              </w:rPr>
            </w:pPr>
            <w:r>
              <w:rPr>
                <w:rFonts w:hint="eastAsia" w:ascii="Times New Roman" w:hAnsi="Times New Roman" w:eastAsia="宋体" w:cs="Times New Roman"/>
                <w:color w:val="auto"/>
                <w:highlight w:val="none"/>
              </w:rPr>
              <w:t>各投标人的投标</w:t>
            </w:r>
            <w:r>
              <w:rPr>
                <w:rFonts w:hint="eastAsia" w:ascii="Times New Roman" w:hAnsi="Times New Roman" w:eastAsia="宋体" w:cs="Times New Roman"/>
                <w:color w:val="auto"/>
                <w:highlight w:val="none"/>
                <w:lang w:val="en-US" w:eastAsia="zh-CN"/>
              </w:rPr>
              <w:t>下浮率</w:t>
            </w:r>
            <w:r>
              <w:rPr>
                <w:rFonts w:hint="eastAsia" w:ascii="Times New Roman" w:hAnsi="Times New Roman" w:eastAsia="宋体" w:cs="Times New Roman"/>
                <w:color w:val="auto"/>
                <w:highlight w:val="none"/>
              </w:rPr>
              <w:t>不得低于（含等于）招标人公布的</w:t>
            </w:r>
            <w:r>
              <w:rPr>
                <w:rFonts w:hint="eastAsia" w:ascii="Times New Roman" w:hAnsi="Times New Roman" w:eastAsia="宋体" w:cs="Times New Roman"/>
                <w:color w:val="auto"/>
                <w:highlight w:val="none"/>
                <w:lang w:val="en-US" w:eastAsia="zh-CN"/>
              </w:rPr>
              <w:t>下浮率</w:t>
            </w: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且相应的投标总报价不得超过招标人公布的最高限价，</w:t>
            </w:r>
            <w:r>
              <w:rPr>
                <w:rFonts w:hint="eastAsia" w:ascii="Times New Roman" w:hAnsi="Times New Roman" w:eastAsia="宋体" w:cs="Times New Roman"/>
                <w:color w:val="auto"/>
                <w:highlight w:val="none"/>
              </w:rPr>
              <w:t>否则，将被认定为废标。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9"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投标内容</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9"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工期</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工程质量</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投标有效期</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权利义务</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Times New Roman" w:cs="宋体"/>
                <w:color w:val="auto"/>
                <w:kern w:val="0"/>
                <w:szCs w:val="21"/>
                <w:highlight w:val="none"/>
              </w:rPr>
              <w:t>符合第四章“合同条款及格式”规定，投标文件不应附有招标人不能接受的条件。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210" w:firstLineChars="100"/>
              <w:jc w:val="left"/>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投标报价算术错误修正</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符合第三章3.评标程序第3.1.3项规定。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highlight w:val="none"/>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630" w:firstLineChars="300"/>
              <w:jc w:val="left"/>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实质性要求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符合第二章“投标人须知”第1.4.3项规定。</w:t>
            </w:r>
          </w:p>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本次投标不得有串通投标、弄虚作假等其他违反招投标相关法律、法规行为。</w:t>
            </w:r>
          </w:p>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Style w:val="45"/>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210" w:firstLineChars="100"/>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2.2.1</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firstLine="315" w:firstLineChars="150"/>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分值构成</w:t>
            </w:r>
          </w:p>
          <w:p>
            <w:pPr>
              <w:keepNext w:val="0"/>
              <w:keepLines w:val="0"/>
              <w:pageBreakBefore w:val="0"/>
              <w:widowControl/>
              <w:kinsoku/>
              <w:wordWrap/>
              <w:overflowPunct/>
              <w:topLinePunct w:val="0"/>
              <w:bidi w:val="0"/>
              <w:snapToGrid w:val="0"/>
              <w:spacing w:line="312" w:lineRule="auto"/>
              <w:ind w:firstLine="315" w:firstLineChars="150"/>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(总分</w:t>
            </w:r>
            <w:r>
              <w:rPr>
                <w:rStyle w:val="45"/>
                <w:rFonts w:hint="eastAsia" w:ascii="宋体" w:hAnsi="宋体" w:eastAsia="宋体" w:cs="宋体"/>
                <w:color w:val="auto"/>
                <w:kern w:val="0"/>
                <w:sz w:val="21"/>
                <w:szCs w:val="21"/>
                <w:highlight w:val="none"/>
                <w:lang w:val="en-US"/>
              </w:rPr>
              <w:t>100</w:t>
            </w:r>
            <w:r>
              <w:rPr>
                <w:rStyle w:val="45"/>
                <w:rFonts w:hint="eastAsia" w:ascii="宋体" w:hAnsi="宋体" w:eastAsia="宋体" w:cs="宋体"/>
                <w:color w:val="auto"/>
                <w:kern w:val="0"/>
                <w:sz w:val="21"/>
                <w:szCs w:val="21"/>
                <w:highlight w:val="none"/>
              </w:rPr>
              <w:t>分)</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（1）投标报价</w:t>
            </w:r>
            <w:r>
              <w:rPr>
                <w:rStyle w:val="45"/>
                <w:rFonts w:hint="eastAsia" w:ascii="宋体" w:hAnsi="宋体" w:eastAsia="宋体" w:cs="宋体"/>
                <w:color w:val="auto"/>
                <w:kern w:val="0"/>
                <w:sz w:val="21"/>
                <w:szCs w:val="21"/>
                <w:highlight w:val="none"/>
                <w:u w:val="single"/>
              </w:rPr>
              <w:t>　</w:t>
            </w:r>
            <w:r>
              <w:rPr>
                <w:rStyle w:val="45"/>
                <w:rFonts w:hint="eastAsia" w:ascii="宋体" w:hAnsi="宋体" w:eastAsia="宋体" w:cs="宋体"/>
                <w:color w:val="auto"/>
                <w:kern w:val="0"/>
                <w:sz w:val="21"/>
                <w:szCs w:val="21"/>
                <w:highlight w:val="none"/>
                <w:u w:val="single"/>
                <w:lang w:val="en-US"/>
              </w:rPr>
              <w:t>7</w:t>
            </w:r>
            <w:r>
              <w:rPr>
                <w:rStyle w:val="45"/>
                <w:rFonts w:hint="eastAsia" w:ascii="宋体" w:hAnsi="宋体" w:eastAsia="宋体" w:cs="宋体"/>
                <w:color w:val="auto"/>
                <w:kern w:val="0"/>
                <w:sz w:val="21"/>
                <w:szCs w:val="21"/>
                <w:highlight w:val="none"/>
                <w:u w:val="single"/>
              </w:rPr>
              <w:t>0　</w:t>
            </w:r>
            <w:r>
              <w:rPr>
                <w:rStyle w:val="45"/>
                <w:rFonts w:hint="eastAsia" w:ascii="宋体" w:hAnsi="宋体" w:eastAsia="宋体" w:cs="宋体"/>
                <w:color w:val="auto"/>
                <w:kern w:val="0"/>
                <w:sz w:val="21"/>
                <w:szCs w:val="21"/>
                <w:highlight w:val="none"/>
              </w:rPr>
              <w:t>分；</w:t>
            </w:r>
          </w:p>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（2）技术服务方案</w:t>
            </w:r>
            <w:r>
              <w:rPr>
                <w:rStyle w:val="45"/>
                <w:rFonts w:hint="eastAsia" w:ascii="宋体" w:hAnsi="宋体" w:eastAsia="宋体" w:cs="宋体"/>
                <w:color w:val="auto"/>
                <w:kern w:val="0"/>
                <w:sz w:val="21"/>
                <w:szCs w:val="21"/>
                <w:highlight w:val="none"/>
                <w:u w:val="single"/>
              </w:rPr>
              <w:t xml:space="preserve">  </w:t>
            </w:r>
            <w:r>
              <w:rPr>
                <w:rStyle w:val="45"/>
                <w:rFonts w:hint="eastAsia" w:ascii="宋体" w:hAnsi="宋体" w:eastAsia="宋体" w:cs="宋体"/>
                <w:color w:val="auto"/>
                <w:kern w:val="0"/>
                <w:sz w:val="21"/>
                <w:szCs w:val="21"/>
                <w:highlight w:val="none"/>
                <w:u w:val="single"/>
                <w:lang w:val="en-US"/>
              </w:rPr>
              <w:t>3</w:t>
            </w:r>
            <w:r>
              <w:rPr>
                <w:rStyle w:val="45"/>
                <w:rFonts w:hint="eastAsia" w:ascii="宋体" w:hAnsi="宋体" w:eastAsia="宋体" w:cs="宋体"/>
                <w:color w:val="auto"/>
                <w:kern w:val="0"/>
                <w:sz w:val="21"/>
                <w:szCs w:val="21"/>
                <w:highlight w:val="none"/>
                <w:u w:val="single"/>
              </w:rPr>
              <w:t>0</w:t>
            </w:r>
            <w:r>
              <w:rPr>
                <w:rStyle w:val="45"/>
                <w:rFonts w:hint="eastAsia" w:ascii="宋体" w:hAnsi="宋体" w:eastAsia="宋体" w:cs="宋体"/>
                <w:color w:val="auto"/>
                <w:kern w:val="0"/>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2" w:hRule="atLeast"/>
        </w:trPr>
        <w:tc>
          <w:tcPr>
            <w:tcW w:w="1508" w:type="dxa"/>
            <w:gridSpan w:val="2"/>
            <w:vMerge w:val="restart"/>
            <w:tcBorders>
              <w:top w:val="single" w:color="000000" w:sz="4" w:space="0"/>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sz w:val="21"/>
                <w:szCs w:val="21"/>
                <w:highlight w:val="none"/>
              </w:rPr>
              <w:t>2.2.2</w:t>
            </w:r>
          </w:p>
        </w:tc>
        <w:tc>
          <w:tcPr>
            <w:tcW w:w="440" w:type="dxa"/>
            <w:vMerge w:val="restart"/>
            <w:tcBorders>
              <w:top w:val="single" w:color="000000" w:sz="4" w:space="0"/>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术</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准</w:t>
            </w:r>
          </w:p>
        </w:tc>
        <w:tc>
          <w:tcPr>
            <w:tcW w:w="553" w:type="dxa"/>
            <w:vMerge w:val="restart"/>
            <w:tcBorders>
              <w:top w:val="single" w:color="000000" w:sz="4" w:space="0"/>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术</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案</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审</w:t>
            </w:r>
          </w:p>
        </w:tc>
        <w:tc>
          <w:tcPr>
            <w:tcW w:w="1580" w:type="dxa"/>
            <w:gridSpan w:val="2"/>
            <w:tcBorders>
              <w:top w:val="single" w:color="000000" w:sz="4" w:space="0"/>
              <w:left w:val="single" w:color="auto" w:sz="4" w:space="0"/>
              <w:bottom w:val="single" w:color="auto" w:sz="4" w:space="0"/>
              <w:right w:val="single" w:color="000000" w:sz="4" w:space="0"/>
            </w:tcBorders>
            <w:vAlign w:val="center"/>
          </w:tcPr>
          <w:p>
            <w:pPr>
              <w:pStyle w:val="52"/>
              <w:jc w:val="center"/>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施工技术方案</w:t>
            </w:r>
          </w:p>
          <w:p>
            <w:pPr>
              <w:pStyle w:val="52"/>
              <w:jc w:val="center"/>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（10分）</w:t>
            </w:r>
          </w:p>
        </w:tc>
        <w:tc>
          <w:tcPr>
            <w:tcW w:w="4997" w:type="dxa"/>
            <w:gridSpan w:val="2"/>
            <w:tcBorders>
              <w:top w:val="single" w:color="000000" w:sz="4" w:space="0"/>
              <w:left w:val="single" w:color="000000" w:sz="4" w:space="0"/>
              <w:bottom w:val="single" w:color="auto" w:sz="4" w:space="0"/>
              <w:right w:val="single" w:color="000000" w:sz="4" w:space="0"/>
            </w:tcBorders>
            <w:vAlign w:val="center"/>
          </w:tcPr>
          <w:p>
            <w:pPr>
              <w:pStyle w:val="52"/>
              <w:spacing w:line="360" w:lineRule="auto"/>
              <w:jc w:val="both"/>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投标人根据招标范围和技术要求自行编制本项目总体技术方案，方案须包含总体建设方案、系统设计方案、网络安全防护方案等内容。</w:t>
            </w:r>
          </w:p>
          <w:p>
            <w:pPr>
              <w:pStyle w:val="52"/>
              <w:spacing w:line="360" w:lineRule="auto"/>
              <w:jc w:val="both"/>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方案成熟、可行、先进，并具有一定的开放性和可扩展性。</w:t>
            </w:r>
          </w:p>
          <w:p>
            <w:pPr>
              <w:pStyle w:val="52"/>
              <w:spacing w:line="360" w:lineRule="auto"/>
              <w:jc w:val="both"/>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优秀得10～7.1分、良好得7～4.1分、一般得4～0分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8"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pStyle w:val="52"/>
              <w:jc w:val="center"/>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服务保障能力（10分）</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52"/>
              <w:spacing w:line="360" w:lineRule="auto"/>
              <w:jc w:val="both"/>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投标人应根据项目建设内容、系统软硬件属性，编制系统运行保障、日常维护、巡检养护、应急处理等服务方案。并提供7*24小时服务响应，针对本项目的制定售后服务方案。</w:t>
            </w:r>
          </w:p>
          <w:p>
            <w:pPr>
              <w:pStyle w:val="52"/>
              <w:spacing w:line="360" w:lineRule="auto"/>
              <w:jc w:val="both"/>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通过对服务方案的质量保障体系、服务内容和措施、故障及应急响应流程进行评比。</w:t>
            </w:r>
          </w:p>
          <w:p>
            <w:pPr>
              <w:pStyle w:val="52"/>
              <w:spacing w:line="360" w:lineRule="auto"/>
              <w:jc w:val="both"/>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优秀得10～7.1分、良好得7～4.1分、一般得4～0分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8"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pStyle w:val="52"/>
              <w:jc w:val="center"/>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安全管理方案</w:t>
            </w:r>
          </w:p>
          <w:p>
            <w:pPr>
              <w:pStyle w:val="52"/>
              <w:jc w:val="center"/>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（10分）</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52"/>
              <w:spacing w:line="360" w:lineRule="auto"/>
              <w:jc w:val="both"/>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根据投标人对本项目的安全管理与措施（包括但不限于安全管理组织方案、安全保障措施、安全管理制度、安全应急预案等）进行综合评审：方案详实、阐述清晰、逻辑合理。</w:t>
            </w:r>
          </w:p>
          <w:p>
            <w:pPr>
              <w:pStyle w:val="52"/>
              <w:spacing w:line="360" w:lineRule="auto"/>
              <w:jc w:val="both"/>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优秀得10～7.1分、良好得7～4.1分、一般得4～0分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87"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lang w:val="en-US"/>
              </w:rPr>
            </w:pPr>
            <w:r>
              <w:rPr>
                <w:rStyle w:val="45"/>
                <w:rFonts w:hint="eastAsia" w:ascii="宋体" w:hAnsi="宋体" w:eastAsia="宋体" w:cs="宋体"/>
                <w:color w:val="auto"/>
                <w:sz w:val="21"/>
                <w:szCs w:val="21"/>
                <w:highlight w:val="none"/>
                <w:lang w:val="en-US"/>
              </w:rPr>
              <w:t>2.2.3</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投标报价评标</w:t>
            </w:r>
          </w:p>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基准价计算方法</w:t>
            </w:r>
          </w:p>
        </w:tc>
        <w:tc>
          <w:tcPr>
            <w:tcW w:w="4997"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bCs/>
                <w:color w:val="auto"/>
                <w:kern w:val="0"/>
                <w:sz w:val="21"/>
                <w:szCs w:val="21"/>
                <w:highlight w:val="none"/>
              </w:rPr>
            </w:pPr>
            <w:r>
              <w:rPr>
                <w:rStyle w:val="45"/>
                <w:rFonts w:hint="eastAsia" w:ascii="宋体" w:hAnsi="宋体" w:eastAsia="宋体" w:cs="宋体"/>
                <w:bCs/>
                <w:color w:val="auto"/>
                <w:kern w:val="0"/>
                <w:sz w:val="21"/>
                <w:szCs w:val="21"/>
                <w:highlight w:val="none"/>
              </w:rPr>
              <w:t>所有通过初步评审合格的投标人（投标总报价高于最高限价的除外）的投标总报价中去掉六分之一（不能整除的按小数前整数取整，不足六家报价则不去掉）的最低价和相同家数的最高价后的算术平均值作为评标基准价。</w:t>
            </w:r>
          </w:p>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bCs/>
                <w:color w:val="auto"/>
                <w:kern w:val="0"/>
                <w:sz w:val="21"/>
                <w:szCs w:val="21"/>
                <w:highlight w:val="none"/>
              </w:rPr>
              <w:t>经初步评审不合格投标报价不参与评标基准价的计算</w:t>
            </w:r>
            <w:r>
              <w:rPr>
                <w:rStyle w:val="45"/>
                <w:rFonts w:hint="eastAsia" w:ascii="宋体" w:hAnsi="宋体" w:eastAsia="宋体" w:cs="宋体"/>
                <w:color w:val="auto"/>
                <w:sz w:val="21"/>
                <w:szCs w:val="21"/>
                <w:highlight w:val="none"/>
              </w:rPr>
              <w:t>，但投标报价要计算相应得分。</w:t>
            </w:r>
          </w:p>
          <w:p>
            <w:pPr>
              <w:keepNext w:val="0"/>
              <w:keepLines w:val="0"/>
              <w:pageBreakBefore w:val="0"/>
              <w:widowControl/>
              <w:kinsoku/>
              <w:wordWrap/>
              <w:overflowPunct/>
              <w:topLinePunct w:val="0"/>
              <w:bidi w:val="0"/>
              <w:snapToGrid w:val="0"/>
              <w:spacing w:line="312" w:lineRule="auto"/>
              <w:ind w:left="15" w:leftChars="7" w:firstLine="399" w:firstLineChars="190"/>
              <w:textAlignment w:val="baseline"/>
              <w:rPr>
                <w:rStyle w:val="40"/>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以上计算取小数点后两位，第三位四舍五入。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09"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sz w:val="21"/>
                <w:szCs w:val="21"/>
                <w:highlight w:val="none"/>
              </w:rPr>
              <w:t>2.2.</w:t>
            </w:r>
            <w:r>
              <w:rPr>
                <w:rStyle w:val="45"/>
                <w:rFonts w:hint="eastAsia" w:ascii="宋体" w:hAnsi="宋体" w:eastAsia="宋体" w:cs="宋体"/>
                <w:color w:val="auto"/>
                <w:sz w:val="21"/>
                <w:szCs w:val="21"/>
                <w:highlight w:val="none"/>
                <w:lang w:val="en-US"/>
              </w:rPr>
              <w:t>4</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投标总报价的</w:t>
            </w:r>
          </w:p>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kern w:val="0"/>
                <w:sz w:val="21"/>
                <w:szCs w:val="21"/>
                <w:highlight w:val="none"/>
              </w:rPr>
              <w:t>偏差率计算公式</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pacing w:beforeAutospacing="0" w:afterAutospacing="0" w:line="312" w:lineRule="auto"/>
              <w:ind w:left="15" w:leftChars="7" w:firstLine="399" w:firstLineChars="190"/>
              <w:jc w:val="left"/>
              <w:textAlignment w:val="baseline"/>
              <w:rPr>
                <w:rStyle w:val="40"/>
                <w:rFonts w:hint="eastAsia" w:ascii="宋体" w:hAnsi="宋体" w:eastAsia="宋体" w:cs="宋体"/>
                <w:color w:val="auto"/>
                <w:kern w:val="0"/>
                <w:sz w:val="21"/>
                <w:szCs w:val="21"/>
                <w:highlight w:val="none"/>
              </w:rPr>
            </w:pPr>
            <w:r>
              <w:rPr>
                <w:rStyle w:val="40"/>
                <w:rFonts w:hint="eastAsia" w:ascii="宋体" w:hAnsi="宋体" w:eastAsia="宋体" w:cs="宋体"/>
                <w:color w:val="auto"/>
                <w:kern w:val="0"/>
                <w:sz w:val="21"/>
                <w:szCs w:val="21"/>
                <w:highlight w:val="none"/>
              </w:rPr>
              <w:t>偏差率=1OO％×(投标人报价一评标基准价)／评标基准价</w:t>
            </w:r>
          </w:p>
          <w:p>
            <w:pPr>
              <w:keepNext w:val="0"/>
              <w:keepLines w:val="0"/>
              <w:pageBreakBefore w:val="0"/>
              <w:widowControl/>
              <w:kinsoku/>
              <w:wordWrap/>
              <w:overflowPunct/>
              <w:topLinePunct w:val="0"/>
              <w:autoSpaceDE/>
              <w:autoSpaceDN/>
              <w:bidi w:val="0"/>
              <w:adjustRightInd/>
              <w:snapToGrid w:val="0"/>
              <w:spacing w:beforeAutospacing="0" w:afterAutospacing="0" w:line="312" w:lineRule="auto"/>
              <w:ind w:left="15" w:leftChars="7" w:firstLine="399" w:firstLineChars="190"/>
              <w:textAlignment w:val="baseline"/>
              <w:rPr>
                <w:rStyle w:val="45"/>
                <w:rFonts w:hint="eastAsia" w:ascii="宋体" w:hAnsi="宋体" w:eastAsia="宋体" w:cs="宋体"/>
                <w:bCs/>
                <w:color w:val="auto"/>
                <w:kern w:val="0"/>
                <w:sz w:val="21"/>
                <w:szCs w:val="21"/>
                <w:highlight w:val="none"/>
              </w:rPr>
            </w:pPr>
            <w:r>
              <w:rPr>
                <w:rStyle w:val="40"/>
                <w:rFonts w:hint="eastAsia" w:ascii="宋体" w:hAnsi="宋体" w:eastAsia="宋体" w:cs="宋体"/>
                <w:color w:val="auto"/>
                <w:kern w:val="0"/>
                <w:sz w:val="21"/>
                <w:szCs w:val="21"/>
                <w:highlight w:val="none"/>
              </w:rPr>
              <w:t>（偏差率保留小数点后两位，小数点后第三位“四舍五入”）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33" w:hRule="atLeast"/>
        </w:trPr>
        <w:tc>
          <w:tcPr>
            <w:tcW w:w="150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sz w:val="21"/>
                <w:szCs w:val="21"/>
                <w:highlight w:val="none"/>
              </w:rPr>
              <w:t>3</w:t>
            </w:r>
          </w:p>
        </w:tc>
        <w:tc>
          <w:tcPr>
            <w:tcW w:w="2573" w:type="dxa"/>
            <w:gridSpan w:val="4"/>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pacing w:line="312" w:lineRule="auto"/>
              <w:ind w:left="113" w:right="113"/>
              <w:jc w:val="center"/>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sz w:val="21"/>
                <w:szCs w:val="21"/>
                <w:highlight w:val="none"/>
              </w:rPr>
              <w:t>评标程序</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1.按本章评标办法第3.1款进行初步评审。未通过初步评审或</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认定为无效的投标文件的不再进行后续评审。</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2.对初步评审合格的投标人按照本章第2.2.3项计算方法计算评标基准价，并按本附表第</w:t>
            </w:r>
            <w:r>
              <w:rPr>
                <w:rFonts w:hint="eastAsia" w:ascii="宋体" w:hAnsi="宋体" w:eastAsia="宋体" w:cs="宋体"/>
                <w:b/>
                <w:bCs/>
                <w:color w:val="auto"/>
                <w:sz w:val="21"/>
                <w:szCs w:val="21"/>
                <w:highlight w:val="none"/>
                <w:u w:val="single"/>
                <w:lang w:eastAsia="zh-CN"/>
              </w:rPr>
              <w:t>3.2.1（</w:t>
            </w:r>
            <w:r>
              <w:rPr>
                <w:rFonts w:hint="eastAsia" w:ascii="宋体" w:hAnsi="宋体" w:eastAsia="宋体" w:cs="宋体"/>
                <w:b/>
                <w:bCs/>
                <w:color w:val="auto"/>
                <w:sz w:val="21"/>
                <w:szCs w:val="21"/>
                <w:highlight w:val="none"/>
                <w:u w:val="single"/>
                <w:lang w:val="en-US" w:eastAsia="zh-CN"/>
              </w:rPr>
              <w:t>1</w:t>
            </w:r>
            <w:r>
              <w:rPr>
                <w:rFonts w:hint="eastAsia" w:ascii="宋体" w:hAnsi="宋体" w:eastAsia="宋体" w:cs="宋体"/>
                <w:b/>
                <w:bCs/>
                <w:color w:val="auto"/>
                <w:sz w:val="21"/>
                <w:szCs w:val="21"/>
                <w:highlight w:val="none"/>
                <w:u w:val="single"/>
                <w:lang w:eastAsia="zh-CN"/>
              </w:rPr>
              <w:t>）</w:t>
            </w:r>
            <w:r>
              <w:rPr>
                <w:rFonts w:hint="eastAsia" w:ascii="宋体" w:hAnsi="宋体" w:eastAsia="宋体" w:cs="宋体"/>
                <w:color w:val="auto"/>
                <w:sz w:val="21"/>
                <w:szCs w:val="21"/>
                <w:highlight w:val="none"/>
              </w:rPr>
              <w:t>目规定的评分方法对投标总报价进行评分。</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按本章评标办法前附表第2.2.2项及第</w:t>
            </w:r>
            <w:r>
              <w:rPr>
                <w:rFonts w:hint="eastAsia" w:ascii="宋体" w:hAnsi="宋体" w:eastAsia="宋体" w:cs="宋体"/>
                <w:b/>
                <w:bCs/>
                <w:color w:val="auto"/>
                <w:sz w:val="21"/>
                <w:szCs w:val="21"/>
                <w:highlight w:val="none"/>
                <w:u w:val="single"/>
                <w:lang w:eastAsia="zh-CN"/>
              </w:rPr>
              <w:t>3.2.1（</w:t>
            </w:r>
            <w:r>
              <w:rPr>
                <w:rFonts w:hint="eastAsia" w:ascii="宋体" w:hAnsi="宋体" w:eastAsia="宋体" w:cs="宋体"/>
                <w:b/>
                <w:bCs/>
                <w:color w:val="auto"/>
                <w:sz w:val="21"/>
                <w:szCs w:val="21"/>
                <w:highlight w:val="none"/>
                <w:u w:val="single"/>
                <w:lang w:val="en-US" w:eastAsia="zh-CN"/>
              </w:rPr>
              <w:t>2</w:t>
            </w:r>
            <w:r>
              <w:rPr>
                <w:rFonts w:hint="eastAsia" w:ascii="宋体" w:hAnsi="宋体" w:eastAsia="宋体" w:cs="宋体"/>
                <w:b/>
                <w:bCs/>
                <w:color w:val="auto"/>
                <w:sz w:val="21"/>
                <w:szCs w:val="21"/>
                <w:highlight w:val="none"/>
                <w:u w:val="single"/>
                <w:lang w:eastAsia="zh-CN"/>
              </w:rPr>
              <w:t>）</w:t>
            </w:r>
            <w:r>
              <w:rPr>
                <w:rFonts w:hint="eastAsia" w:ascii="宋体" w:hAnsi="宋体" w:eastAsia="宋体" w:cs="宋体"/>
                <w:color w:val="auto"/>
                <w:sz w:val="21"/>
                <w:szCs w:val="21"/>
                <w:highlight w:val="none"/>
              </w:rPr>
              <w:t>目的规定对技术部分进行评审。</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.因</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作否决投标处理导致有效投标人不足三个的，</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应当否决所有投标。但是有效投标人的经济、技术等指标仍然具有市场竞争力，能够满足</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要求的，</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可以继续评标并确定中标候选人。</w:t>
            </w:r>
          </w:p>
          <w:p>
            <w:pPr>
              <w:keepNext w:val="0"/>
              <w:keepLines w:val="0"/>
              <w:pageBreakBefore w:val="0"/>
              <w:widowControl/>
              <w:kinsoku/>
              <w:wordWrap/>
              <w:overflowPunct/>
              <w:topLinePunct w:val="0"/>
              <w:bidi w:val="0"/>
              <w:spacing w:line="312" w:lineRule="auto"/>
              <w:ind w:firstLine="420" w:firstLineChars="200"/>
              <w:textAlignment w:val="baseline"/>
              <w:rPr>
                <w:rStyle w:val="45"/>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5.对投标总报价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技术部分得分进行汇总，确定得分由高至低前三名投标人为中标候选人。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sz w:val="21"/>
                <w:szCs w:val="21"/>
                <w:highlight w:val="none"/>
                <w:lang w:val="en-US"/>
              </w:rPr>
              <w:t xml:space="preserve">  </w:t>
            </w:r>
            <w:r>
              <w:rPr>
                <w:rStyle w:val="45"/>
                <w:rFonts w:hint="eastAsia" w:ascii="宋体" w:hAnsi="宋体" w:eastAsia="宋体" w:cs="宋体"/>
                <w:color w:val="auto"/>
                <w:sz w:val="21"/>
                <w:szCs w:val="21"/>
                <w:highlight w:val="none"/>
              </w:rPr>
              <w:t>3.2.1(1)</w:t>
            </w:r>
          </w:p>
        </w:tc>
        <w:tc>
          <w:tcPr>
            <w:tcW w:w="146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kern w:val="0"/>
                <w:sz w:val="21"/>
                <w:szCs w:val="21"/>
                <w:highlight w:val="none"/>
              </w:rPr>
              <w:t>投标报价</w:t>
            </w:r>
            <w:r>
              <w:rPr>
                <w:rFonts w:hint="eastAsia" w:ascii="宋体" w:hAnsi="宋体" w:eastAsia="宋体" w:cs="宋体"/>
                <w:color w:val="auto"/>
                <w:kern w:val="0"/>
                <w:sz w:val="21"/>
                <w:szCs w:val="21"/>
                <w:highlight w:val="none"/>
              </w:rPr>
              <w:t>得分</w:t>
            </w:r>
            <w:r>
              <w:rPr>
                <w:rStyle w:val="45"/>
                <w:rFonts w:hint="eastAsia" w:ascii="宋体" w:hAnsi="宋体" w:eastAsia="宋体" w:cs="宋体"/>
                <w:color w:val="auto"/>
                <w:sz w:val="21"/>
                <w:szCs w:val="21"/>
                <w:highlight w:val="none"/>
              </w:rPr>
              <w:t>（A）</w:t>
            </w:r>
            <w:r>
              <w:rPr>
                <w:rStyle w:val="45"/>
                <w:rFonts w:hint="eastAsia" w:ascii="宋体" w:hAnsi="宋体" w:eastAsia="宋体" w:cs="宋体"/>
                <w:color w:val="auto"/>
                <w:sz w:val="21"/>
                <w:szCs w:val="21"/>
                <w:highlight w:val="none"/>
                <w:lang w:val="en-US"/>
              </w:rPr>
              <w:t>7</w:t>
            </w:r>
            <w:r>
              <w:rPr>
                <w:rStyle w:val="45"/>
                <w:rFonts w:hint="eastAsia" w:ascii="宋体" w:hAnsi="宋体" w:eastAsia="宋体" w:cs="宋体"/>
                <w:color w:val="auto"/>
                <w:sz w:val="21"/>
                <w:szCs w:val="21"/>
                <w:highlight w:val="none"/>
              </w:rPr>
              <w:t>0分</w:t>
            </w:r>
          </w:p>
        </w:tc>
        <w:tc>
          <w:tcPr>
            <w:tcW w:w="11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18" w:firstLineChars="9"/>
              <w:jc w:val="center"/>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kern w:val="0"/>
                <w:sz w:val="21"/>
                <w:szCs w:val="21"/>
                <w:highlight w:val="none"/>
              </w:rPr>
              <w:t>投标报价</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sz w:val="21"/>
                <w:szCs w:val="21"/>
                <w:highlight w:val="none"/>
              </w:rPr>
              <w:t>所有通过初步评审合格的投标人的投标报价得本附表2.2.1规定分值的满分</w:t>
            </w:r>
            <w:r>
              <w:rPr>
                <w:rStyle w:val="45"/>
                <w:rFonts w:hint="eastAsia" w:ascii="宋体" w:hAnsi="宋体" w:eastAsia="宋体" w:cs="宋体"/>
                <w:color w:val="auto"/>
                <w:sz w:val="21"/>
                <w:szCs w:val="21"/>
                <w:highlight w:val="none"/>
                <w:lang w:val="en-US"/>
              </w:rPr>
              <w:t>7</w:t>
            </w:r>
            <w:r>
              <w:rPr>
                <w:rStyle w:val="45"/>
                <w:rFonts w:hint="eastAsia" w:ascii="宋体" w:hAnsi="宋体" w:eastAsia="宋体" w:cs="宋体"/>
                <w:color w:val="auto"/>
                <w:sz w:val="21"/>
                <w:szCs w:val="21"/>
                <w:highlight w:val="none"/>
              </w:rPr>
              <w:t>0分,在此基础上，投标报价与评标准基价相比，每增加1%扣0.</w:t>
            </w:r>
            <w:r>
              <w:rPr>
                <w:rStyle w:val="45"/>
                <w:rFonts w:hint="eastAsia" w:ascii="宋体" w:hAnsi="宋体" w:eastAsia="宋体" w:cs="宋体"/>
                <w:color w:val="auto"/>
                <w:sz w:val="21"/>
                <w:szCs w:val="21"/>
                <w:highlight w:val="none"/>
                <w:lang w:val="en-US"/>
              </w:rPr>
              <w:t>2</w:t>
            </w:r>
            <w:r>
              <w:rPr>
                <w:rStyle w:val="45"/>
                <w:rFonts w:hint="eastAsia" w:ascii="宋体" w:hAnsi="宋体" w:eastAsia="宋体" w:cs="宋体"/>
                <w:color w:val="auto"/>
                <w:sz w:val="21"/>
                <w:szCs w:val="21"/>
                <w:highlight w:val="none"/>
              </w:rPr>
              <w:t>分，每减少1%扣0.</w:t>
            </w:r>
            <w:r>
              <w:rPr>
                <w:rStyle w:val="45"/>
                <w:rFonts w:hint="eastAsia" w:ascii="宋体" w:hAnsi="宋体" w:eastAsia="宋体" w:cs="宋体"/>
                <w:color w:val="auto"/>
                <w:sz w:val="21"/>
                <w:szCs w:val="21"/>
                <w:highlight w:val="none"/>
                <w:lang w:val="en-US"/>
              </w:rPr>
              <w:t>1</w:t>
            </w:r>
            <w:r>
              <w:rPr>
                <w:rStyle w:val="45"/>
                <w:rFonts w:hint="eastAsia" w:ascii="宋体" w:hAnsi="宋体" w:eastAsia="宋体" w:cs="宋体"/>
                <w:color w:val="auto"/>
                <w:sz w:val="21"/>
                <w:szCs w:val="21"/>
                <w:highlight w:val="none"/>
              </w:rPr>
              <w:t>分。扣完为止。</w:t>
            </w:r>
          </w:p>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sz w:val="21"/>
                <w:szCs w:val="21"/>
                <w:highlight w:val="none"/>
              </w:rPr>
              <w:t>计分采用插入法计算，保留小数点后两位，第三位四舍五入。</w:t>
            </w:r>
          </w:p>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kern w:val="0"/>
                <w:sz w:val="21"/>
                <w:szCs w:val="21"/>
                <w:highlight w:val="none"/>
              </w:rPr>
            </w:pPr>
            <w:r>
              <w:rPr>
                <w:rStyle w:val="45"/>
                <w:rFonts w:hint="eastAsia" w:ascii="宋体" w:hAnsi="宋体" w:eastAsia="宋体" w:cs="宋体"/>
                <w:color w:val="auto"/>
                <w:sz w:val="21"/>
                <w:szCs w:val="21"/>
                <w:highlight w:val="none"/>
              </w:rPr>
              <w:t>未参与评标基准价计算的投标报价，仍应参加计算相应分值。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1508"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b w:val="0"/>
                <w:bCs w:val="0"/>
                <w:color w:val="auto"/>
                <w:sz w:val="21"/>
                <w:szCs w:val="21"/>
                <w:highlight w:val="none"/>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b w:val="0"/>
                <w:bCs w:val="0"/>
                <w:color w:val="auto"/>
                <w:sz w:val="21"/>
                <w:szCs w:val="21"/>
                <w:highlight w:val="none"/>
              </w:rPr>
            </w:pPr>
            <w:r>
              <w:rPr>
                <w:rStyle w:val="45"/>
                <w:rFonts w:hint="eastAsia" w:ascii="宋体" w:hAnsi="宋体" w:eastAsia="宋体" w:cs="宋体"/>
                <w:b w:val="0"/>
                <w:bCs w:val="0"/>
                <w:color w:val="auto"/>
                <w:sz w:val="21"/>
                <w:szCs w:val="21"/>
                <w:highlight w:val="none"/>
                <w:lang w:val="en-US"/>
              </w:rPr>
              <w:t>3.2.1（2）</w:t>
            </w:r>
          </w:p>
        </w:tc>
        <w:tc>
          <w:tcPr>
            <w:tcW w:w="1467"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技术部分</w:t>
            </w:r>
            <w:r>
              <w:rPr>
                <w:rFonts w:hint="eastAsia" w:ascii="宋体" w:hAnsi="宋体" w:eastAsia="宋体" w:cs="宋体"/>
                <w:b w:val="0"/>
                <w:bCs w:val="0"/>
                <w:color w:val="auto"/>
                <w:kern w:val="0"/>
                <w:sz w:val="21"/>
                <w:szCs w:val="21"/>
                <w:highlight w:val="none"/>
              </w:rPr>
              <w:t>得分</w:t>
            </w:r>
            <w:r>
              <w:rPr>
                <w:rFonts w:hint="eastAsia" w:ascii="宋体" w:hAnsi="宋体" w:eastAsia="宋体" w:cs="宋体"/>
                <w:b w:val="0"/>
                <w:bCs w:val="0"/>
                <w:color w:val="auto"/>
                <w:spacing w:val="-4"/>
                <w:sz w:val="21"/>
                <w:szCs w:val="21"/>
                <w:highlight w:val="none"/>
              </w:rPr>
              <w:t>（</w:t>
            </w:r>
            <w:r>
              <w:rPr>
                <w:rFonts w:hint="eastAsia" w:ascii="宋体" w:hAnsi="宋体" w:eastAsia="宋体" w:cs="宋体"/>
                <w:b w:val="0"/>
                <w:bCs w:val="0"/>
                <w:color w:val="auto"/>
                <w:spacing w:val="-4"/>
                <w:sz w:val="21"/>
                <w:szCs w:val="21"/>
                <w:highlight w:val="none"/>
                <w:lang w:val="en-US" w:eastAsia="zh-CN"/>
              </w:rPr>
              <w:t>B</w:t>
            </w:r>
            <w:r>
              <w:rPr>
                <w:rFonts w:hint="eastAsia" w:ascii="宋体" w:hAnsi="宋体" w:eastAsia="宋体" w:cs="宋体"/>
                <w:b w:val="0"/>
                <w:bCs w:val="0"/>
                <w:color w:val="auto"/>
                <w:spacing w:val="-4"/>
                <w:sz w:val="21"/>
                <w:szCs w:val="21"/>
                <w:highlight w:val="none"/>
              </w:rPr>
              <w:t>）</w:t>
            </w:r>
            <w:r>
              <w:rPr>
                <w:rFonts w:hint="eastAsia" w:ascii="宋体" w:hAnsi="宋体" w:eastAsia="宋体" w:cs="宋体"/>
                <w:b w:val="0"/>
                <w:bCs w:val="0"/>
                <w:color w:val="auto"/>
                <w:spacing w:val="-4"/>
                <w:sz w:val="21"/>
                <w:szCs w:val="21"/>
                <w:highlight w:val="none"/>
                <w:lang w:val="en-US" w:eastAsia="zh-CN"/>
              </w:rPr>
              <w:t>30分</w:t>
            </w:r>
          </w:p>
        </w:tc>
        <w:tc>
          <w:tcPr>
            <w:tcW w:w="2564" w:type="dxa"/>
            <w:gridSpan w:val="2"/>
            <w:tcBorders>
              <w:top w:val="single" w:color="000000" w:sz="4" w:space="0"/>
              <w:left w:val="single" w:color="000000" w:sz="4" w:space="0"/>
              <w:right w:val="single" w:color="000000" w:sz="4" w:space="0"/>
            </w:tcBorders>
            <w:vAlign w:val="center"/>
          </w:tcPr>
          <w:p>
            <w:pPr>
              <w:pStyle w:val="52"/>
              <w:jc w:val="center"/>
              <w:rPr>
                <w:rStyle w:val="45"/>
                <w:rFonts w:hint="eastAsia" w:ascii="宋体" w:hAnsi="宋体" w:eastAsia="宋体" w:cs="宋体"/>
                <w:color w:val="auto"/>
                <w:sz w:val="21"/>
                <w:szCs w:val="21"/>
                <w:highlight w:val="none"/>
              </w:rPr>
            </w:pPr>
            <w:r>
              <w:rPr>
                <w:rStyle w:val="45"/>
                <w:rFonts w:hint="eastAsia" w:ascii="宋体" w:hAnsi="宋体" w:cs="宋体"/>
                <w:bCs/>
                <w:color w:val="auto"/>
                <w:kern w:val="0"/>
                <w:szCs w:val="21"/>
                <w:highlight w:val="none"/>
                <w:lang w:val="en-US" w:eastAsia="zh-CN"/>
              </w:rPr>
              <w:t>施工技术方案</w:t>
            </w:r>
          </w:p>
        </w:tc>
        <w:tc>
          <w:tcPr>
            <w:tcW w:w="353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采用暗标评审</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不符合第二章投标人须知前附表第3.7.5项要求的，</w:t>
            </w:r>
            <w:r>
              <w:rPr>
                <w:rFonts w:hint="eastAsia" w:ascii="宋体" w:hAnsi="宋体" w:eastAsia="宋体" w:cs="宋体"/>
                <w:color w:val="auto"/>
                <w:sz w:val="21"/>
                <w:szCs w:val="21"/>
                <w:highlight w:val="none"/>
                <w:lang w:eastAsia="zh-CN"/>
              </w:rPr>
              <w:t>技术服务方案</w:t>
            </w:r>
            <w:r>
              <w:rPr>
                <w:rFonts w:hint="eastAsia" w:ascii="宋体" w:hAnsi="宋体" w:eastAsia="宋体" w:cs="宋体"/>
                <w:color w:val="auto"/>
                <w:sz w:val="21"/>
                <w:szCs w:val="21"/>
                <w:highlight w:val="none"/>
              </w:rPr>
              <w:t>得0分。</w:t>
            </w:r>
          </w:p>
          <w:p>
            <w:pPr>
              <w:keepNext w:val="0"/>
              <w:keepLines w:val="0"/>
              <w:pageBreakBefore w:val="0"/>
              <w:widowControl/>
              <w:kinsoku/>
              <w:wordWrap/>
              <w:overflowPunct/>
              <w:topLinePunct w:val="0"/>
              <w:autoSpaceDE w:val="0"/>
              <w:autoSpaceDN w:val="0"/>
              <w:bidi w:val="0"/>
              <w:adjustRightInd w:val="0"/>
              <w:snapToGrid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按第2.2.2项各评审因素设定的分值评分。</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所有评委打分取算术平均值为该投标人技术部分得分</w:t>
            </w:r>
            <w:r>
              <w:rPr>
                <w:rFonts w:hint="eastAsia" w:ascii="宋体" w:hAnsi="宋体" w:eastAsia="宋体" w:cs="宋体"/>
                <w:snapToGrid w:val="0"/>
                <w:color w:val="auto"/>
                <w:kern w:val="0"/>
                <w:sz w:val="21"/>
                <w:szCs w:val="21"/>
                <w:highlight w:val="none"/>
              </w:rPr>
              <w:t>。</w:t>
            </w:r>
          </w:p>
          <w:p>
            <w:pPr>
              <w:pStyle w:val="47"/>
              <w:keepNext w:val="0"/>
              <w:keepLines w:val="0"/>
              <w:pageBreakBefore w:val="0"/>
              <w:widowControl/>
              <w:kinsoku/>
              <w:wordWrap/>
              <w:overflowPunct/>
              <w:topLinePunct w:val="0"/>
              <w:bidi w:val="0"/>
              <w:spacing w:line="312" w:lineRule="auto"/>
              <w:ind w:firstLine="210"/>
              <w:textAlignment w:val="baseline"/>
              <w:rPr>
                <w:rStyle w:val="45"/>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技术服务方案</w:t>
            </w:r>
            <w:r>
              <w:rPr>
                <w:rFonts w:hint="eastAsia" w:ascii="宋体" w:hAnsi="宋体" w:eastAsia="宋体" w:cs="宋体"/>
                <w:color w:val="auto"/>
                <w:kern w:val="0"/>
                <w:sz w:val="21"/>
                <w:szCs w:val="21"/>
                <w:highlight w:val="none"/>
              </w:rPr>
              <w:t>得分的最终结果取小数点后两位，第三位四舍五入。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highlight w:val="none"/>
              </w:rPr>
            </w:pPr>
          </w:p>
        </w:tc>
        <w:tc>
          <w:tcPr>
            <w:tcW w:w="2564" w:type="dxa"/>
            <w:gridSpan w:val="2"/>
            <w:tcBorders>
              <w:left w:val="single" w:color="000000" w:sz="4" w:space="0"/>
              <w:bottom w:val="single" w:color="000000" w:sz="4" w:space="0"/>
              <w:right w:val="single" w:color="000000" w:sz="4" w:space="0"/>
            </w:tcBorders>
            <w:vAlign w:val="center"/>
          </w:tcPr>
          <w:p>
            <w:pPr>
              <w:pStyle w:val="52"/>
              <w:jc w:val="center"/>
              <w:rPr>
                <w:rFonts w:hint="eastAsia" w:ascii="宋体" w:hAnsi="宋体" w:eastAsia="宋体" w:cs="宋体"/>
                <w:color w:val="auto"/>
                <w:sz w:val="21"/>
                <w:szCs w:val="21"/>
                <w:highlight w:val="none"/>
                <w:lang w:val="en-US" w:eastAsia="zh-CN"/>
              </w:rPr>
            </w:pPr>
            <w:r>
              <w:rPr>
                <w:rStyle w:val="45"/>
                <w:rFonts w:hint="eastAsia" w:ascii="宋体" w:hAnsi="宋体" w:cs="宋体"/>
                <w:bCs/>
                <w:color w:val="auto"/>
                <w:kern w:val="0"/>
                <w:szCs w:val="21"/>
                <w:highlight w:val="none"/>
                <w:lang w:val="en-US" w:eastAsia="zh-CN"/>
              </w:rPr>
              <w:t>服务保障能力</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highlight w:val="none"/>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highlight w:val="none"/>
              </w:rPr>
            </w:pPr>
          </w:p>
        </w:tc>
        <w:tc>
          <w:tcPr>
            <w:tcW w:w="2564" w:type="dxa"/>
            <w:gridSpan w:val="2"/>
            <w:tcBorders>
              <w:left w:val="single" w:color="000000" w:sz="4" w:space="0"/>
              <w:bottom w:val="single" w:color="000000" w:sz="4" w:space="0"/>
              <w:right w:val="single" w:color="000000" w:sz="4" w:space="0"/>
            </w:tcBorders>
            <w:vAlign w:val="center"/>
          </w:tcPr>
          <w:p>
            <w:pPr>
              <w:pStyle w:val="52"/>
              <w:jc w:val="center"/>
              <w:rPr>
                <w:rStyle w:val="45"/>
                <w:rFonts w:hint="eastAsia" w:ascii="宋体" w:hAnsi="宋体" w:cs="宋体"/>
                <w:bCs/>
                <w:color w:val="auto"/>
                <w:kern w:val="0"/>
                <w:szCs w:val="21"/>
                <w:highlight w:val="none"/>
                <w:lang w:val="en-US" w:eastAsia="zh-CN"/>
              </w:rPr>
            </w:pPr>
            <w:r>
              <w:rPr>
                <w:rStyle w:val="45"/>
                <w:rFonts w:hint="eastAsia" w:ascii="宋体" w:hAnsi="宋体" w:cs="宋体"/>
                <w:bCs/>
                <w:color w:val="auto"/>
                <w:kern w:val="0"/>
                <w:szCs w:val="21"/>
                <w:highlight w:val="none"/>
                <w:lang w:val="en-US" w:eastAsia="zh-CN"/>
              </w:rPr>
              <w:t>安全管理方案</w:t>
            </w:r>
          </w:p>
          <w:p>
            <w:pPr>
              <w:pStyle w:val="52"/>
              <w:jc w:val="center"/>
              <w:rPr>
                <w:rFonts w:hint="eastAsia" w:ascii="宋体" w:hAnsi="宋体" w:eastAsia="宋体" w:cs="宋体"/>
                <w:color w:val="auto"/>
                <w:sz w:val="21"/>
                <w:szCs w:val="21"/>
                <w:highlight w:val="none"/>
                <w:lang w:val="en-US" w:eastAsia="zh-CN"/>
              </w:rPr>
            </w:pP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firstLine="420" w:firstLineChars="200"/>
              <w:jc w:val="center"/>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sz w:val="21"/>
                <w:szCs w:val="21"/>
                <w:highlight w:val="none"/>
              </w:rPr>
              <w:t>3.2.3</w:t>
            </w:r>
          </w:p>
        </w:tc>
        <w:tc>
          <w:tcPr>
            <w:tcW w:w="146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sz w:val="21"/>
                <w:szCs w:val="21"/>
                <w:highlight w:val="none"/>
              </w:rPr>
              <w:t>投标人得分</w:t>
            </w:r>
          </w:p>
        </w:tc>
        <w:tc>
          <w:tcPr>
            <w:tcW w:w="61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sz w:val="21"/>
                <w:szCs w:val="21"/>
                <w:highlight w:val="none"/>
              </w:rPr>
            </w:pPr>
            <w:r>
              <w:rPr>
                <w:rStyle w:val="45"/>
                <w:rFonts w:hint="eastAsia" w:ascii="宋体" w:hAnsi="宋体" w:eastAsia="宋体" w:cs="宋体"/>
                <w:color w:val="auto"/>
                <w:sz w:val="21"/>
                <w:szCs w:val="21"/>
                <w:highlight w:val="none"/>
              </w:rPr>
              <w:t>投标人得分=A+B</w:t>
            </w:r>
          </w:p>
        </w:tc>
      </w:tr>
    </w:tbl>
    <w:p>
      <w:pPr>
        <w:rPr>
          <w:rStyle w:val="45"/>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spacing w:before="0" w:after="0" w:line="360" w:lineRule="auto"/>
        <w:rPr>
          <w:rFonts w:hint="eastAsia" w:ascii="宋体" w:hAnsi="宋体" w:eastAsia="宋体" w:cs="宋体"/>
          <w:b w:val="0"/>
          <w:snapToGrid w:val="0"/>
          <w:color w:val="auto"/>
          <w:highlight w:val="none"/>
        </w:rPr>
      </w:pPr>
      <w:bookmarkStart w:id="20" w:name="_Toc2957"/>
      <w:bookmarkStart w:id="21" w:name="_Toc57905897"/>
      <w:r>
        <w:rPr>
          <w:rFonts w:hint="eastAsia" w:ascii="宋体" w:hAnsi="宋体" w:eastAsia="宋体" w:cs="宋体"/>
          <w:b w:val="0"/>
          <w:snapToGrid w:val="0"/>
          <w:color w:val="auto"/>
          <w:highlight w:val="none"/>
        </w:rPr>
        <w:t>1.  评标方法</w:t>
      </w:r>
      <w:bookmarkEnd w:id="20"/>
      <w:bookmarkEnd w:id="21"/>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本次评标采用综合评估法</w:t>
      </w:r>
      <w:r>
        <w:rPr>
          <w:rFonts w:hint="eastAsia" w:ascii="宋体" w:hAnsi="宋体" w:eastAsia="宋体" w:cs="宋体"/>
          <w:color w:val="auto"/>
          <w:spacing w:val="-47"/>
          <w:kern w:val="0"/>
          <w:szCs w:val="21"/>
          <w:highlight w:val="none"/>
        </w:rPr>
        <w:t>。</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 xml:space="preserve">按照本章第 </w:t>
      </w:r>
      <w:r>
        <w:rPr>
          <w:rFonts w:hint="eastAsia" w:ascii="宋体" w:hAnsi="宋体" w:eastAsia="宋体" w:cs="宋体"/>
          <w:color w:val="auto"/>
          <w:spacing w:val="1"/>
          <w:kern w:val="0"/>
          <w:szCs w:val="21"/>
          <w:highlight w:val="none"/>
        </w:rPr>
        <w:t>2</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2</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款</w:t>
      </w:r>
      <w:r>
        <w:rPr>
          <w:rFonts w:hint="eastAsia" w:ascii="宋体" w:hAnsi="宋体" w:eastAsia="宋体" w:cs="宋体"/>
          <w:color w:val="auto"/>
          <w:spacing w:val="-1"/>
          <w:kern w:val="0"/>
          <w:szCs w:val="21"/>
          <w:highlight w:val="none"/>
        </w:rPr>
        <w:t>规</w:t>
      </w:r>
      <w:r>
        <w:rPr>
          <w:rFonts w:hint="eastAsia" w:ascii="宋体" w:hAnsi="宋体" w:eastAsia="宋体" w:cs="宋体"/>
          <w:color w:val="auto"/>
          <w:kern w:val="0"/>
          <w:szCs w:val="21"/>
          <w:highlight w:val="none"/>
        </w:rPr>
        <w:t>定的评分标准进行打分，按得分由高到低顺序推荐中标候选人，若出现投标人投标报价相同的，以评标办法前附表约定的原则确定排序</w:t>
      </w:r>
      <w:r>
        <w:rPr>
          <w:rFonts w:hint="eastAsia" w:ascii="宋体" w:hAnsi="宋体" w:eastAsia="宋体" w:cs="宋体"/>
          <w:color w:val="auto"/>
          <w:spacing w:val="-31"/>
          <w:kern w:val="0"/>
          <w:szCs w:val="21"/>
          <w:highlight w:val="none"/>
        </w:rPr>
        <w:t>。</w:t>
      </w:r>
    </w:p>
    <w:p>
      <w:pPr>
        <w:pStyle w:val="4"/>
        <w:spacing w:before="0" w:after="0" w:line="360" w:lineRule="auto"/>
        <w:rPr>
          <w:rFonts w:hint="eastAsia" w:ascii="宋体" w:hAnsi="宋体" w:eastAsia="宋体" w:cs="宋体"/>
          <w:b w:val="0"/>
          <w:snapToGrid w:val="0"/>
          <w:color w:val="auto"/>
          <w:highlight w:val="none"/>
        </w:rPr>
      </w:pPr>
      <w:bookmarkStart w:id="22" w:name="_Toc28040"/>
      <w:bookmarkStart w:id="23" w:name="_Toc430530501"/>
      <w:bookmarkStart w:id="24" w:name="_Toc224103385"/>
      <w:bookmarkStart w:id="25" w:name="_Toc509218777"/>
      <w:bookmarkStart w:id="26" w:name="_Toc200513199"/>
      <w:bookmarkStart w:id="27" w:name="_Toc287620752"/>
      <w:bookmarkStart w:id="28" w:name="_Toc277082619"/>
      <w:bookmarkStart w:id="29" w:name="_Toc287607813"/>
      <w:bookmarkStart w:id="30" w:name="_Toc57905898"/>
      <w:r>
        <w:rPr>
          <w:rFonts w:hint="eastAsia" w:ascii="宋体" w:hAnsi="宋体" w:eastAsia="宋体" w:cs="宋体"/>
          <w:b w:val="0"/>
          <w:snapToGrid w:val="0"/>
          <w:color w:val="auto"/>
          <w:highlight w:val="none"/>
        </w:rPr>
        <w:t>2.  评审标准</w:t>
      </w:r>
      <w:bookmarkEnd w:id="22"/>
      <w:bookmarkEnd w:id="23"/>
      <w:bookmarkEnd w:id="24"/>
      <w:bookmarkEnd w:id="25"/>
      <w:bookmarkEnd w:id="26"/>
      <w:bookmarkEnd w:id="27"/>
      <w:bookmarkEnd w:id="28"/>
      <w:bookmarkEnd w:id="29"/>
      <w:bookmarkEnd w:id="30"/>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31" w:name="_Toc287620753"/>
      <w:bookmarkStart w:id="32" w:name="_Toc200513200"/>
      <w:bookmarkStart w:id="33" w:name="_Toc430530502"/>
      <w:bookmarkStart w:id="34" w:name="_Toc2588"/>
      <w:bookmarkStart w:id="35" w:name="_Toc224103386"/>
      <w:bookmarkStart w:id="36" w:name="_Toc277082620"/>
      <w:bookmarkStart w:id="37" w:name="_Toc509218778"/>
      <w:bookmarkStart w:id="38" w:name="_Toc287607814"/>
      <w:bookmarkStart w:id="39" w:name="_Toc57905899"/>
      <w:r>
        <w:rPr>
          <w:rFonts w:hint="eastAsia" w:ascii="宋体" w:hAnsi="宋体" w:eastAsia="宋体" w:cs="宋体"/>
          <w:b w:val="0"/>
          <w:snapToGrid w:val="0"/>
          <w:color w:val="auto"/>
          <w:sz w:val="24"/>
          <w:szCs w:val="24"/>
          <w:highlight w:val="none"/>
        </w:rPr>
        <w:t>2.1  初步评审标准</w:t>
      </w:r>
      <w:bookmarkEnd w:id="31"/>
      <w:bookmarkEnd w:id="32"/>
      <w:bookmarkEnd w:id="33"/>
      <w:bookmarkEnd w:id="34"/>
      <w:bookmarkEnd w:id="35"/>
      <w:bookmarkEnd w:id="36"/>
      <w:bookmarkEnd w:id="37"/>
      <w:bookmarkEnd w:id="38"/>
      <w:bookmarkEnd w:id="39"/>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  资格评审标准：见评标办法前附表。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2.1.2  形式评审标准：见评标办法前附表。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2.1.3  响应性评审标准：见评标办法前附表。</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40" w:name="_Toc509218779"/>
      <w:bookmarkStart w:id="41" w:name="_Toc287620754"/>
      <w:bookmarkStart w:id="42" w:name="_Toc287607815"/>
      <w:bookmarkStart w:id="43" w:name="_Toc17923"/>
      <w:bookmarkStart w:id="44" w:name="_Toc430530503"/>
      <w:bookmarkStart w:id="45" w:name="_Toc57905900"/>
      <w:bookmarkStart w:id="46" w:name="_Toc224103387"/>
      <w:bookmarkStart w:id="47" w:name="_Toc277082621"/>
      <w:bookmarkStart w:id="48" w:name="_Toc200513201"/>
      <w:r>
        <w:rPr>
          <w:rFonts w:hint="eastAsia" w:ascii="宋体" w:hAnsi="宋体" w:eastAsia="宋体" w:cs="宋体"/>
          <w:b w:val="0"/>
          <w:snapToGrid w:val="0"/>
          <w:color w:val="auto"/>
          <w:sz w:val="24"/>
          <w:szCs w:val="24"/>
          <w:highlight w:val="none"/>
        </w:rPr>
        <w:t>2.2  分值构成与评分标准</w:t>
      </w:r>
      <w:bookmarkEnd w:id="40"/>
      <w:bookmarkEnd w:id="41"/>
      <w:bookmarkEnd w:id="42"/>
      <w:bookmarkEnd w:id="43"/>
      <w:bookmarkEnd w:id="44"/>
      <w:bookmarkEnd w:id="45"/>
      <w:bookmarkEnd w:id="46"/>
      <w:bookmarkEnd w:id="47"/>
      <w:bookmarkEnd w:id="48"/>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  分值构成</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）技术部分：见评标办法前附表；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）投标总</w:t>
      </w:r>
      <w:r>
        <w:rPr>
          <w:rFonts w:hint="eastAsia" w:ascii="宋体" w:hAnsi="宋体" w:eastAsia="宋体" w:cs="宋体"/>
          <w:color w:val="auto"/>
          <w:spacing w:val="-1"/>
          <w:kern w:val="0"/>
          <w:szCs w:val="21"/>
          <w:highlight w:val="none"/>
        </w:rPr>
        <w:t>报</w:t>
      </w:r>
      <w:r>
        <w:rPr>
          <w:rFonts w:hint="eastAsia" w:ascii="宋体" w:hAnsi="宋体" w:eastAsia="宋体" w:cs="宋体"/>
          <w:color w:val="auto"/>
          <w:kern w:val="0"/>
          <w:szCs w:val="21"/>
          <w:highlight w:val="none"/>
        </w:rPr>
        <w:t>价：见评标办法前附表。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  评分标准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技术部分评分标准：见评标办法前附表；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  评标基准价计算</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评标基准价计算方法：见评标办法前附表。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  投标报价的偏差率计算</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（1）投标报价的偏差率计算公式：见评标办法前附表；</w:t>
      </w:r>
    </w:p>
    <w:p>
      <w:pPr>
        <w:pStyle w:val="4"/>
        <w:spacing w:before="0" w:after="0" w:line="360" w:lineRule="auto"/>
        <w:rPr>
          <w:rFonts w:hint="eastAsia" w:ascii="宋体" w:hAnsi="宋体" w:eastAsia="宋体" w:cs="宋体"/>
          <w:b w:val="0"/>
          <w:snapToGrid w:val="0"/>
          <w:color w:val="auto"/>
          <w:highlight w:val="none"/>
        </w:rPr>
      </w:pPr>
      <w:bookmarkStart w:id="49" w:name="_Toc287607816"/>
      <w:bookmarkStart w:id="50" w:name="_Toc224103388"/>
      <w:bookmarkStart w:id="51" w:name="_Toc277082622"/>
      <w:bookmarkStart w:id="52" w:name="_Toc200513202"/>
      <w:bookmarkStart w:id="53" w:name="_Toc287620755"/>
      <w:bookmarkStart w:id="54" w:name="_Toc430530504"/>
      <w:bookmarkStart w:id="55" w:name="_Toc4568"/>
      <w:bookmarkStart w:id="56" w:name="_Toc57905901"/>
      <w:bookmarkStart w:id="57" w:name="_Toc509218780"/>
      <w:r>
        <w:rPr>
          <w:rFonts w:hint="eastAsia" w:ascii="宋体" w:hAnsi="宋体" w:eastAsia="宋体" w:cs="宋体"/>
          <w:b w:val="0"/>
          <w:snapToGrid w:val="0"/>
          <w:color w:val="auto"/>
          <w:highlight w:val="none"/>
        </w:rPr>
        <w:t>3.  评标程序</w:t>
      </w:r>
      <w:bookmarkEnd w:id="49"/>
      <w:bookmarkEnd w:id="50"/>
      <w:bookmarkEnd w:id="51"/>
      <w:bookmarkEnd w:id="52"/>
      <w:bookmarkEnd w:id="53"/>
      <w:bookmarkEnd w:id="54"/>
      <w:bookmarkEnd w:id="55"/>
      <w:bookmarkEnd w:id="56"/>
      <w:bookmarkEnd w:id="57"/>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58" w:name="_Toc509218781"/>
      <w:bookmarkStart w:id="59" w:name="_Toc200513203"/>
      <w:bookmarkStart w:id="60" w:name="_Toc21102"/>
      <w:bookmarkStart w:id="61" w:name="_Toc277082623"/>
      <w:bookmarkStart w:id="62" w:name="_Toc287607817"/>
      <w:bookmarkStart w:id="63" w:name="_Toc224103389"/>
      <w:bookmarkStart w:id="64" w:name="_Toc430530505"/>
      <w:bookmarkStart w:id="65" w:name="_Toc287620756"/>
      <w:bookmarkStart w:id="66" w:name="_Toc57905902"/>
      <w:r>
        <w:rPr>
          <w:rFonts w:hint="eastAsia" w:ascii="宋体" w:hAnsi="宋体" w:eastAsia="宋体" w:cs="宋体"/>
          <w:b w:val="0"/>
          <w:snapToGrid w:val="0"/>
          <w:color w:val="auto"/>
          <w:sz w:val="24"/>
          <w:szCs w:val="24"/>
          <w:highlight w:val="none"/>
        </w:rPr>
        <w:t>3.1  初步评审</w:t>
      </w:r>
      <w:bookmarkEnd w:id="58"/>
      <w:bookmarkEnd w:id="59"/>
      <w:bookmarkEnd w:id="60"/>
      <w:bookmarkEnd w:id="61"/>
      <w:bookmarkEnd w:id="62"/>
      <w:bookmarkEnd w:id="63"/>
      <w:bookmarkEnd w:id="64"/>
      <w:bookmarkEnd w:id="65"/>
      <w:bookmarkEnd w:id="66"/>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3.1.1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依据本章第 2.1 款规定的标准对投标文件进行初步评审。有一项不符合评审标准的，作否决投标处理。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3.1.2  投标人有以下情形之一的，其投标作否决投标处理：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）第二</w:t>
      </w:r>
      <w:r>
        <w:rPr>
          <w:rFonts w:hint="eastAsia" w:ascii="宋体" w:hAnsi="宋体" w:eastAsia="宋体" w:cs="宋体"/>
          <w:color w:val="auto"/>
          <w:spacing w:val="-1"/>
          <w:kern w:val="0"/>
          <w:szCs w:val="21"/>
          <w:highlight w:val="none"/>
        </w:rPr>
        <w:t>章</w:t>
      </w:r>
      <w:r>
        <w:rPr>
          <w:rFonts w:hint="eastAsia" w:ascii="宋体" w:hAnsi="宋体" w:eastAsia="宋体" w:cs="宋体"/>
          <w:color w:val="auto"/>
          <w:kern w:val="0"/>
          <w:szCs w:val="21"/>
          <w:highlight w:val="none"/>
        </w:rPr>
        <w:t>“投标人须知”第</w:t>
      </w:r>
      <w:r>
        <w:rPr>
          <w:rFonts w:hint="eastAsia" w:ascii="宋体" w:hAnsi="宋体" w:eastAsia="宋体" w:cs="宋体"/>
          <w:color w:val="auto"/>
          <w:spacing w:val="1"/>
          <w:kern w:val="0"/>
          <w:szCs w:val="21"/>
          <w:highlight w:val="none"/>
        </w:rPr>
        <w:t>1</w:t>
      </w:r>
      <w:r>
        <w:rPr>
          <w:rFonts w:hint="eastAsia" w:ascii="宋体" w:hAnsi="宋体" w:eastAsia="宋体" w:cs="宋体"/>
          <w:color w:val="auto"/>
          <w:spacing w:val="-1"/>
          <w:kern w:val="0"/>
          <w:szCs w:val="21"/>
          <w:highlight w:val="none"/>
        </w:rPr>
        <w:t>.</w:t>
      </w:r>
      <w:r>
        <w:rPr>
          <w:rFonts w:hint="eastAsia" w:ascii="宋体" w:hAnsi="宋体" w:eastAsia="宋体" w:cs="宋体"/>
          <w:color w:val="auto"/>
          <w:spacing w:val="1"/>
          <w:kern w:val="0"/>
          <w:szCs w:val="21"/>
          <w:highlight w:val="none"/>
        </w:rPr>
        <w:t>4</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3项规定的任何一种情形的；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本次投标有串通投标、弄虚作假等其他违反招投标相关法律、法规行为的</w:t>
      </w:r>
      <w:r>
        <w:rPr>
          <w:rFonts w:hint="eastAsia" w:ascii="宋体" w:hAnsi="宋体" w:eastAsia="宋体" w:cs="宋体"/>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）拒绝按</w:t>
      </w:r>
      <w:r>
        <w:rPr>
          <w:rFonts w:hint="eastAsia" w:ascii="宋体" w:hAnsi="宋体" w:eastAsia="宋体" w:cs="宋体"/>
          <w:color w:val="auto"/>
          <w:spacing w:val="-1"/>
          <w:kern w:val="0"/>
          <w:szCs w:val="21"/>
          <w:highlight w:val="none"/>
          <w:lang w:eastAsia="zh-CN"/>
        </w:rPr>
        <w:t>评审小组</w:t>
      </w:r>
      <w:r>
        <w:rPr>
          <w:rFonts w:hint="eastAsia" w:ascii="宋体" w:hAnsi="宋体" w:eastAsia="宋体" w:cs="宋体"/>
          <w:color w:val="auto"/>
          <w:kern w:val="0"/>
          <w:szCs w:val="21"/>
          <w:highlight w:val="none"/>
        </w:rPr>
        <w:t>要求澄清、说明或补正的。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3.1.3  投标报价有算术错误的，</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按以下原则对投标报价进行修正，修正的价格经投标人书面确认后具有约束力，修正原则如下：</w:t>
      </w:r>
    </w:p>
    <w:p>
      <w:pPr>
        <w:autoSpaceDE w:val="0"/>
        <w:autoSpaceDN w:val="0"/>
        <w:adjustRightInd w:val="0"/>
        <w:snapToGrid w:val="0"/>
        <w:spacing w:line="360" w:lineRule="auto"/>
        <w:ind w:firstLine="532"/>
        <w:rPr>
          <w:rFonts w:hint="eastAsia" w:ascii="宋体" w:hAnsi="宋体" w:eastAsia="宋体" w:cs="宋体"/>
          <w:color w:val="auto"/>
          <w:kern w:val="0"/>
          <w:szCs w:val="21"/>
          <w:highlight w:val="none"/>
        </w:rPr>
      </w:pPr>
      <w:r>
        <w:rPr>
          <w:rFonts w:hint="eastAsia" w:ascii="宋体" w:hAnsi="宋体" w:eastAsia="宋体" w:cs="宋体"/>
          <w:color w:val="auto"/>
          <w:spacing w:val="-1"/>
          <w:kern w:val="0"/>
          <w:szCs w:val="21"/>
          <w:highlight w:val="none"/>
        </w:rPr>
        <w:t>（1）投标文件中的大写金额与小写金额不一致的，以大写金</w:t>
      </w:r>
      <w:r>
        <w:rPr>
          <w:rFonts w:hint="eastAsia" w:ascii="宋体" w:hAnsi="宋体" w:eastAsia="宋体" w:cs="宋体"/>
          <w:color w:val="auto"/>
          <w:kern w:val="0"/>
          <w:szCs w:val="21"/>
          <w:highlight w:val="none"/>
        </w:rPr>
        <w:t>额为准；</w:t>
      </w:r>
    </w:p>
    <w:p>
      <w:pPr>
        <w:autoSpaceDE w:val="0"/>
        <w:autoSpaceDN w:val="0"/>
        <w:adjustRightInd w:val="0"/>
        <w:snapToGrid w:val="0"/>
        <w:spacing w:line="360" w:lineRule="auto"/>
        <w:ind w:firstLine="53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（2）投标函中的总报价与已标价工程量清单总报价不一致的，由</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作否决投标处理。</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67" w:name="_Toc31837"/>
      <w:bookmarkStart w:id="68" w:name="_Toc277082624"/>
      <w:bookmarkStart w:id="69" w:name="_Toc57905903"/>
      <w:bookmarkStart w:id="70" w:name="_Toc200513204"/>
      <w:bookmarkStart w:id="71" w:name="_Toc287620757"/>
      <w:bookmarkStart w:id="72" w:name="_Toc287607818"/>
      <w:bookmarkStart w:id="73" w:name="_Toc224103390"/>
      <w:bookmarkStart w:id="74" w:name="_Toc509218782"/>
      <w:bookmarkStart w:id="75" w:name="_Toc430530506"/>
      <w:r>
        <w:rPr>
          <w:rFonts w:hint="eastAsia" w:ascii="宋体" w:hAnsi="宋体" w:eastAsia="宋体" w:cs="宋体"/>
          <w:b w:val="0"/>
          <w:snapToGrid w:val="0"/>
          <w:color w:val="auto"/>
          <w:sz w:val="24"/>
          <w:szCs w:val="24"/>
          <w:highlight w:val="none"/>
        </w:rPr>
        <w:t>3.2  详细评审</w:t>
      </w:r>
      <w:bookmarkEnd w:id="67"/>
      <w:bookmarkEnd w:id="68"/>
      <w:bookmarkEnd w:id="69"/>
      <w:bookmarkEnd w:id="70"/>
      <w:bookmarkEnd w:id="71"/>
      <w:bookmarkEnd w:id="72"/>
      <w:bookmarkEnd w:id="73"/>
      <w:bookmarkEnd w:id="74"/>
      <w:bookmarkEnd w:id="75"/>
    </w:p>
    <w:p>
      <w:pPr>
        <w:autoSpaceDE w:val="0"/>
        <w:autoSpaceDN w:val="0"/>
        <w:adjustRightInd w:val="0"/>
        <w:snapToGrid w:val="0"/>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color w:val="auto"/>
          <w:kern w:val="0"/>
          <w:szCs w:val="21"/>
          <w:highlight w:val="none"/>
        </w:rPr>
        <w:t xml:space="preserve">3.2.1  </w:t>
      </w:r>
      <w:r>
        <w:rPr>
          <w:rFonts w:hint="eastAsia" w:ascii="宋体" w:hAnsi="宋体" w:eastAsia="宋体" w:cs="宋体"/>
          <w:color w:val="auto"/>
          <w:kern w:val="0"/>
          <w:szCs w:val="21"/>
          <w:highlight w:val="none"/>
          <w:lang w:eastAsia="zh-CN"/>
        </w:rPr>
        <w:t>评审小组</w:t>
      </w:r>
      <w:r>
        <w:rPr>
          <w:rFonts w:hint="eastAsia" w:ascii="宋体" w:hAnsi="宋体" w:eastAsia="宋体" w:cs="宋体"/>
          <w:b w:val="0"/>
          <w:bCs w:val="0"/>
          <w:color w:val="auto"/>
          <w:kern w:val="0"/>
          <w:szCs w:val="21"/>
          <w:highlight w:val="none"/>
        </w:rPr>
        <w:t>按本章第2.2款规定的量化因素和分值进行打分，并计算出综合评估得分。</w:t>
      </w:r>
    </w:p>
    <w:p>
      <w:pPr>
        <w:autoSpaceDE w:val="0"/>
        <w:autoSpaceDN w:val="0"/>
        <w:adjustRightInd w:val="0"/>
        <w:snapToGrid w:val="0"/>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（1）按本章第3.2.1（</w:t>
      </w:r>
      <w:r>
        <w:rPr>
          <w:rFonts w:hint="eastAsia" w:ascii="宋体" w:hAnsi="宋体" w:eastAsia="宋体" w:cs="宋体"/>
          <w:b w:val="0"/>
          <w:bCs w:val="0"/>
          <w:color w:val="auto"/>
          <w:kern w:val="0"/>
          <w:szCs w:val="21"/>
          <w:highlight w:val="none"/>
          <w:lang w:val="en-US" w:eastAsia="zh-CN"/>
        </w:rPr>
        <w:t>2</w:t>
      </w:r>
      <w:r>
        <w:rPr>
          <w:rFonts w:hint="eastAsia" w:ascii="宋体" w:hAnsi="宋体" w:eastAsia="宋体" w:cs="宋体"/>
          <w:b w:val="0"/>
          <w:bCs w:val="0"/>
          <w:color w:val="auto"/>
          <w:kern w:val="0"/>
          <w:szCs w:val="21"/>
          <w:highlight w:val="none"/>
        </w:rPr>
        <w:t>）目规定</w:t>
      </w:r>
      <w:r>
        <w:rPr>
          <w:rFonts w:hint="eastAsia" w:ascii="宋体" w:hAnsi="宋体" w:eastAsia="宋体" w:cs="宋体"/>
          <w:color w:val="auto"/>
          <w:kern w:val="0"/>
          <w:szCs w:val="21"/>
          <w:highlight w:val="none"/>
        </w:rPr>
        <w:t>的评审因素和分值对</w:t>
      </w:r>
      <w:r>
        <w:rPr>
          <w:rFonts w:hint="eastAsia" w:ascii="宋体" w:hAnsi="宋体" w:eastAsia="宋体" w:cs="宋体"/>
          <w:color w:val="auto"/>
          <w:kern w:val="0"/>
          <w:szCs w:val="21"/>
          <w:highlight w:val="none"/>
          <w:lang w:eastAsia="zh-CN"/>
        </w:rPr>
        <w:t>技术服务方案</w:t>
      </w:r>
      <w:r>
        <w:rPr>
          <w:rFonts w:hint="eastAsia" w:ascii="宋体" w:hAnsi="宋体" w:eastAsia="宋体" w:cs="宋体"/>
          <w:color w:val="auto"/>
          <w:kern w:val="0"/>
          <w:szCs w:val="21"/>
          <w:highlight w:val="none"/>
        </w:rPr>
        <w:t>计算出得分A(</w:t>
      </w:r>
      <w:r>
        <w:rPr>
          <w:rFonts w:hint="eastAsia" w:ascii="宋体" w:hAnsi="宋体" w:eastAsia="宋体" w:cs="宋体"/>
          <w:snapToGrid w:val="0"/>
          <w:color w:val="auto"/>
          <w:kern w:val="0"/>
          <w:szCs w:val="21"/>
          <w:highlight w:val="none"/>
        </w:rPr>
        <w:t>所有评委打分中去掉一个最高和一</w:t>
      </w:r>
      <w:r>
        <w:rPr>
          <w:rFonts w:hint="eastAsia" w:ascii="宋体" w:hAnsi="宋体" w:eastAsia="宋体" w:cs="宋体"/>
          <w:b w:val="0"/>
          <w:bCs w:val="0"/>
          <w:snapToGrid w:val="0"/>
          <w:color w:val="auto"/>
          <w:kern w:val="0"/>
          <w:szCs w:val="21"/>
          <w:highlight w:val="none"/>
        </w:rPr>
        <w:t>个最低分，余下评委打分取算术平均值为该投标人</w:t>
      </w:r>
      <w:r>
        <w:rPr>
          <w:rFonts w:hint="eastAsia" w:ascii="宋体" w:hAnsi="宋体" w:eastAsia="宋体" w:cs="宋体"/>
          <w:b w:val="0"/>
          <w:bCs w:val="0"/>
          <w:snapToGrid w:val="0"/>
          <w:color w:val="auto"/>
          <w:kern w:val="0"/>
          <w:szCs w:val="21"/>
          <w:highlight w:val="none"/>
          <w:lang w:eastAsia="zh-CN"/>
        </w:rPr>
        <w:t>技术服务方案</w:t>
      </w:r>
      <w:r>
        <w:rPr>
          <w:rFonts w:hint="eastAsia" w:ascii="宋体" w:hAnsi="宋体" w:eastAsia="宋体" w:cs="宋体"/>
          <w:b w:val="0"/>
          <w:bCs w:val="0"/>
          <w:snapToGrid w:val="0"/>
          <w:color w:val="auto"/>
          <w:kern w:val="0"/>
          <w:szCs w:val="21"/>
          <w:highlight w:val="none"/>
        </w:rPr>
        <w:t>得分。</w:t>
      </w:r>
      <w:r>
        <w:rPr>
          <w:rFonts w:hint="eastAsia" w:ascii="宋体" w:hAnsi="宋体" w:eastAsia="宋体" w:cs="宋体"/>
          <w:b w:val="0"/>
          <w:bCs w:val="0"/>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b w:val="0"/>
          <w:bCs w:val="0"/>
          <w:color w:val="auto"/>
          <w:kern w:val="0"/>
          <w:szCs w:val="21"/>
          <w:highlight w:val="none"/>
        </w:rPr>
        <w:t>（2）按本章第3.2.1（</w:t>
      </w:r>
      <w:r>
        <w:rPr>
          <w:rFonts w:hint="eastAsia" w:ascii="宋体" w:hAnsi="宋体" w:eastAsia="宋体" w:cs="宋体"/>
          <w:b w:val="0"/>
          <w:bCs w:val="0"/>
          <w:color w:val="auto"/>
          <w:kern w:val="0"/>
          <w:szCs w:val="21"/>
          <w:highlight w:val="none"/>
          <w:lang w:val="en-US" w:eastAsia="zh-CN"/>
        </w:rPr>
        <w:t>1</w:t>
      </w:r>
      <w:r>
        <w:rPr>
          <w:rFonts w:hint="eastAsia" w:ascii="宋体" w:hAnsi="宋体" w:eastAsia="宋体" w:cs="宋体"/>
          <w:b w:val="0"/>
          <w:bCs w:val="0"/>
          <w:color w:val="auto"/>
          <w:kern w:val="0"/>
          <w:szCs w:val="21"/>
          <w:highlight w:val="none"/>
        </w:rPr>
        <w:t>）目规定的评</w:t>
      </w:r>
      <w:r>
        <w:rPr>
          <w:rFonts w:hint="eastAsia" w:ascii="宋体" w:hAnsi="宋体" w:eastAsia="宋体" w:cs="宋体"/>
          <w:color w:val="auto"/>
          <w:kern w:val="0"/>
          <w:szCs w:val="21"/>
          <w:highlight w:val="none"/>
        </w:rPr>
        <w:t>审因素和分值对投标总报价计算出得分B。</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3.2.2  各类评分分值的最终计算结果保留小数点后两位，小数点后第三位“四舍五入”。</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3.2.3  投标人得分=A+B。</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76" w:name="_Toc277082625"/>
      <w:bookmarkStart w:id="77" w:name="_Toc430530507"/>
      <w:bookmarkStart w:id="78" w:name="_Toc224103391"/>
      <w:bookmarkStart w:id="79" w:name="_Toc57905904"/>
      <w:bookmarkStart w:id="80" w:name="_Toc200513205"/>
      <w:bookmarkStart w:id="81" w:name="_Toc29615"/>
      <w:bookmarkStart w:id="82" w:name="_Toc509218783"/>
      <w:bookmarkStart w:id="83" w:name="_Toc287620758"/>
      <w:bookmarkStart w:id="84" w:name="_Toc287607819"/>
      <w:r>
        <w:rPr>
          <w:rFonts w:hint="eastAsia" w:ascii="宋体" w:hAnsi="宋体" w:eastAsia="宋体" w:cs="宋体"/>
          <w:b w:val="0"/>
          <w:snapToGrid w:val="0"/>
          <w:color w:val="auto"/>
          <w:sz w:val="24"/>
          <w:szCs w:val="24"/>
          <w:highlight w:val="none"/>
        </w:rPr>
        <w:t>3.3  投标文件的澄清和补正</w:t>
      </w:r>
      <w:bookmarkEnd w:id="76"/>
      <w:bookmarkEnd w:id="77"/>
      <w:bookmarkEnd w:id="78"/>
      <w:bookmarkEnd w:id="79"/>
      <w:bookmarkEnd w:id="80"/>
      <w:bookmarkEnd w:id="81"/>
      <w:bookmarkEnd w:id="82"/>
      <w:bookmarkEnd w:id="83"/>
      <w:bookmarkEnd w:id="84"/>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  在评标过程中，</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可以书面形式要求投标人对所提交投标文件中不明确的内容进行书面澄清或说明，或者对细微偏差进行补正。</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不接受投标人主动提出的澄清、说明或补正。</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3.3.3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对投标人提交的澄清、说明或补正有疑问的，可以要求投标人进一步澄清、说明或补正，直至满足</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的要求。</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85" w:name="_Toc277082626"/>
      <w:bookmarkStart w:id="86" w:name="_Toc430530508"/>
      <w:bookmarkStart w:id="87" w:name="_Toc287607820"/>
      <w:bookmarkStart w:id="88" w:name="_Toc17868"/>
      <w:bookmarkStart w:id="89" w:name="_Toc57905905"/>
      <w:bookmarkStart w:id="90" w:name="_Toc200513206"/>
      <w:bookmarkStart w:id="91" w:name="_Toc224103392"/>
      <w:bookmarkStart w:id="92" w:name="_Toc287620759"/>
      <w:bookmarkStart w:id="93" w:name="_Toc509218784"/>
      <w:r>
        <w:rPr>
          <w:rFonts w:hint="eastAsia" w:ascii="宋体" w:hAnsi="宋体" w:eastAsia="宋体" w:cs="宋体"/>
          <w:b w:val="0"/>
          <w:snapToGrid w:val="0"/>
          <w:color w:val="auto"/>
          <w:sz w:val="24"/>
          <w:szCs w:val="24"/>
          <w:highlight w:val="none"/>
        </w:rPr>
        <w:t>3.4  评标结果</w:t>
      </w:r>
      <w:bookmarkEnd w:id="85"/>
      <w:bookmarkEnd w:id="86"/>
      <w:bookmarkEnd w:id="87"/>
      <w:bookmarkEnd w:id="88"/>
      <w:bookmarkEnd w:id="89"/>
      <w:bookmarkEnd w:id="90"/>
      <w:bookmarkEnd w:id="91"/>
      <w:bookmarkEnd w:id="92"/>
      <w:bookmarkEnd w:id="93"/>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spacing w:val="-1"/>
          <w:kern w:val="0"/>
          <w:szCs w:val="21"/>
          <w:highlight w:val="none"/>
        </w:rPr>
        <w:t>4</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除第二章“投标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须知”前</w:t>
      </w:r>
      <w:r>
        <w:rPr>
          <w:rFonts w:hint="eastAsia" w:ascii="宋体" w:hAnsi="宋体" w:eastAsia="宋体" w:cs="宋体"/>
          <w:color w:val="auto"/>
          <w:spacing w:val="1"/>
          <w:kern w:val="0"/>
          <w:szCs w:val="21"/>
          <w:highlight w:val="none"/>
        </w:rPr>
        <w:t>附</w:t>
      </w:r>
      <w:r>
        <w:rPr>
          <w:rFonts w:hint="eastAsia" w:ascii="宋体" w:hAnsi="宋体" w:eastAsia="宋体" w:cs="宋体"/>
          <w:color w:val="auto"/>
          <w:kern w:val="0"/>
          <w:szCs w:val="21"/>
          <w:highlight w:val="none"/>
        </w:rPr>
        <w:t>表授权直</w:t>
      </w:r>
      <w:r>
        <w:rPr>
          <w:rFonts w:hint="eastAsia" w:ascii="宋体" w:hAnsi="宋体" w:eastAsia="宋体" w:cs="宋体"/>
          <w:color w:val="auto"/>
          <w:spacing w:val="1"/>
          <w:kern w:val="0"/>
          <w:szCs w:val="21"/>
          <w:highlight w:val="none"/>
        </w:rPr>
        <w:t>接</w:t>
      </w:r>
      <w:r>
        <w:rPr>
          <w:rFonts w:hint="eastAsia" w:ascii="宋体" w:hAnsi="宋体" w:eastAsia="宋体" w:cs="宋体"/>
          <w:color w:val="auto"/>
          <w:kern w:val="0"/>
          <w:szCs w:val="21"/>
          <w:highlight w:val="none"/>
        </w:rPr>
        <w:t>确定中标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外，</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按照</w:t>
      </w:r>
      <w:r>
        <w:rPr>
          <w:rFonts w:hint="eastAsia" w:ascii="宋体" w:hAnsi="宋体" w:eastAsia="宋体" w:cs="宋体"/>
          <w:color w:val="auto"/>
          <w:spacing w:val="1"/>
          <w:kern w:val="0"/>
          <w:szCs w:val="21"/>
          <w:highlight w:val="none"/>
        </w:rPr>
        <w:t>得分</w:t>
      </w:r>
      <w:r>
        <w:rPr>
          <w:rFonts w:hint="eastAsia" w:ascii="宋体" w:hAnsi="宋体" w:eastAsia="宋体" w:cs="宋体"/>
          <w:color w:val="auto"/>
          <w:kern w:val="0"/>
          <w:szCs w:val="21"/>
          <w:highlight w:val="none"/>
        </w:rPr>
        <w:t>由高到低的顺序推荐中标候选人。</w:t>
      </w:r>
    </w:p>
    <w:p>
      <w:pPr>
        <w:autoSpaceDE w:val="0"/>
        <w:autoSpaceDN w:val="0"/>
        <w:adjustRightInd w:val="0"/>
        <w:snapToGrid w:val="0"/>
        <w:spacing w:line="360" w:lineRule="auto"/>
        <w:ind w:firstLine="424" w:firstLineChars="200"/>
        <w:rPr>
          <w:rFonts w:hint="eastAsia" w:ascii="宋体" w:hAnsi="宋体" w:eastAsia="宋体" w:cs="宋体"/>
          <w:color w:val="auto"/>
          <w:kern w:val="0"/>
          <w:szCs w:val="21"/>
          <w:highlight w:val="none"/>
        </w:rPr>
      </w:pP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 xml:space="preserve">.4.2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完成评标后，应当向招标人提交书面评标报告。</w:t>
      </w:r>
    </w:p>
    <w:p>
      <w:pPr>
        <w:pStyle w:val="2"/>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pStyle w:val="16"/>
        <w:spacing w:line="360" w:lineRule="auto"/>
        <w:rPr>
          <w:rFonts w:hint="eastAsia" w:ascii="宋体" w:hAnsi="宋体" w:eastAsia="宋体" w:cs="宋体"/>
          <w:b/>
          <w:color w:val="auto"/>
          <w:sz w:val="28"/>
          <w:szCs w:val="28"/>
          <w:highlight w:val="none"/>
          <w:u w:val="none"/>
          <w:lang w:eastAsia="zh-CN"/>
        </w:rPr>
      </w:pPr>
      <w:bookmarkStart w:id="94" w:name="_Toc230410480"/>
      <w:bookmarkStart w:id="95" w:name="_Toc277082627"/>
      <w:r>
        <w:rPr>
          <w:rFonts w:hint="eastAsia" w:ascii="宋体" w:hAnsi="宋体" w:eastAsia="宋体" w:cs="宋体"/>
          <w:b/>
          <w:color w:val="auto"/>
          <w:sz w:val="28"/>
          <w:szCs w:val="28"/>
          <w:highlight w:val="none"/>
          <w:u w:val="none"/>
          <w:lang w:eastAsia="zh-CN"/>
        </w:rPr>
        <w:t>附件A：综合评估法否决投标情况一览表</w:t>
      </w:r>
      <w:bookmarkEnd w:id="94"/>
    </w:p>
    <w:bookmarkEnd w:id="95"/>
    <w:p>
      <w:pPr>
        <w:pStyle w:val="16"/>
        <w:spacing w:line="360" w:lineRule="auto"/>
        <w:ind w:firstLine="420" w:firstLineChars="200"/>
        <w:jc w:val="both"/>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投标文件存在本一览表下列情形之一的，投标文件视为重大偏差并作否决投标处理，否则，评审小组不得视为重大偏差而否决投标人的投标文件。</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7"/>
        <w:gridCol w:w="1478"/>
        <w:gridCol w:w="6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8" w:hRule="atLeast"/>
          <w:tblHeader/>
        </w:trPr>
        <w:tc>
          <w:tcPr>
            <w:tcW w:w="1207" w:type="dxa"/>
            <w:noWrap w:val="0"/>
            <w:vAlign w:val="center"/>
          </w:tcPr>
          <w:p>
            <w:pPr>
              <w:spacing w:line="360" w:lineRule="auto"/>
              <w:jc w:val="center"/>
              <w:rPr>
                <w:rFonts w:hint="eastAsia" w:ascii="宋体" w:hAnsi="宋体" w:cs="仿宋_GB2312"/>
                <w:b/>
                <w:color w:val="auto"/>
                <w:szCs w:val="21"/>
                <w:highlight w:val="none"/>
              </w:rPr>
            </w:pPr>
            <w:r>
              <w:rPr>
                <w:rFonts w:hint="eastAsia" w:ascii="宋体" w:hAnsi="宋体" w:cs="仿宋_GB2312"/>
                <w:b/>
                <w:color w:val="auto"/>
                <w:szCs w:val="21"/>
                <w:highlight w:val="none"/>
              </w:rPr>
              <w:t>章节号</w:t>
            </w:r>
          </w:p>
        </w:tc>
        <w:tc>
          <w:tcPr>
            <w:tcW w:w="1478" w:type="dxa"/>
            <w:noWrap w:val="0"/>
            <w:vAlign w:val="center"/>
          </w:tcPr>
          <w:p>
            <w:pPr>
              <w:spacing w:line="360" w:lineRule="auto"/>
              <w:jc w:val="center"/>
              <w:rPr>
                <w:rFonts w:hint="eastAsia" w:ascii="宋体" w:hAnsi="宋体" w:cs="仿宋_GB2312"/>
                <w:b/>
                <w:color w:val="auto"/>
                <w:szCs w:val="21"/>
                <w:highlight w:val="none"/>
              </w:rPr>
            </w:pPr>
            <w:r>
              <w:rPr>
                <w:rFonts w:hint="eastAsia" w:ascii="宋体" w:hAnsi="宋体" w:cs="仿宋_GB2312"/>
                <w:b/>
                <w:color w:val="auto"/>
                <w:szCs w:val="21"/>
                <w:highlight w:val="none"/>
              </w:rPr>
              <w:t>条款名称</w:t>
            </w:r>
          </w:p>
        </w:tc>
        <w:tc>
          <w:tcPr>
            <w:tcW w:w="6558" w:type="dxa"/>
            <w:noWrap w:val="0"/>
            <w:vAlign w:val="center"/>
          </w:tcPr>
          <w:p>
            <w:pPr>
              <w:spacing w:line="360" w:lineRule="auto"/>
              <w:jc w:val="center"/>
              <w:rPr>
                <w:rFonts w:hint="eastAsia" w:ascii="宋体" w:hAnsi="宋体" w:cs="仿宋_GB2312"/>
                <w:b/>
                <w:color w:val="auto"/>
                <w:szCs w:val="21"/>
                <w:highlight w:val="none"/>
              </w:rPr>
            </w:pPr>
            <w:r>
              <w:rPr>
                <w:rFonts w:hint="eastAsia" w:ascii="宋体" w:hAnsi="宋体" w:cs="仿宋_GB2312"/>
                <w:b/>
                <w:color w:val="auto"/>
                <w:szCs w:val="21"/>
                <w:highlight w:val="none"/>
              </w:rPr>
              <w:t>废标条件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3" w:hRule="atLeast"/>
        </w:trPr>
        <w:tc>
          <w:tcPr>
            <w:tcW w:w="1207" w:type="dxa"/>
            <w:noWrap w:val="0"/>
            <w:vAlign w:val="center"/>
          </w:tcPr>
          <w:p>
            <w:pPr>
              <w:spacing w:line="240" w:lineRule="exact"/>
              <w:jc w:val="center"/>
              <w:rPr>
                <w:rFonts w:hint="eastAsia" w:ascii="宋体" w:hAnsi="宋体" w:cs="仿宋_GB2312"/>
                <w:color w:val="auto"/>
                <w:szCs w:val="21"/>
                <w:highlight w:val="none"/>
              </w:rPr>
            </w:pPr>
          </w:p>
        </w:tc>
        <w:tc>
          <w:tcPr>
            <w:tcW w:w="1478" w:type="dxa"/>
            <w:noWrap w:val="0"/>
            <w:vAlign w:val="center"/>
          </w:tcPr>
          <w:p>
            <w:pPr>
              <w:spacing w:line="240" w:lineRule="exact"/>
              <w:jc w:val="center"/>
              <w:rPr>
                <w:rFonts w:hint="eastAsia" w:ascii="宋体" w:hAnsi="宋体" w:cs="仿宋_GB2312"/>
                <w:color w:val="auto"/>
                <w:szCs w:val="21"/>
                <w:highlight w:val="none"/>
              </w:rPr>
            </w:pPr>
          </w:p>
        </w:tc>
        <w:tc>
          <w:tcPr>
            <w:tcW w:w="6558" w:type="dxa"/>
            <w:noWrap w:val="0"/>
            <w:vAlign w:val="center"/>
          </w:tcPr>
          <w:p>
            <w:pPr>
              <w:spacing w:line="360" w:lineRule="auto"/>
              <w:ind w:firstLine="420" w:firstLineChars="200"/>
              <w:jc w:val="left"/>
              <w:rPr>
                <w:rFonts w:hint="eastAsia" w:ascii="宋体" w:hAnsi="宋体" w:eastAsia="宋体" w:cs="宋体"/>
                <w:snapToGrid w:val="0"/>
                <w:color w:val="auto"/>
                <w:kern w:val="0"/>
                <w:sz w:val="21"/>
                <w:szCs w:val="24"/>
                <w:highlight w:val="none"/>
                <w:lang w:val="zh-CN" w:eastAsia="zh-CN" w:bidi="ar-SA"/>
              </w:rPr>
            </w:pPr>
            <w:r>
              <w:rPr>
                <w:rFonts w:hint="eastAsia" w:ascii="宋体" w:hAnsi="宋体" w:eastAsia="宋体" w:cs="宋体"/>
                <w:color w:val="auto"/>
                <w:highlight w:val="none"/>
              </w:rPr>
              <w:t>各投标人的投标下浮率不得低于（含等于）招标人公布的下浮率，且相应的投标总报价不得超过招标人公布的最高限价，否则，将被认定为废标。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2" w:hRule="atLeast"/>
        </w:trPr>
        <w:tc>
          <w:tcPr>
            <w:tcW w:w="1207" w:type="dxa"/>
            <w:noWrap w:val="0"/>
            <w:vAlign w:val="center"/>
          </w:tcPr>
          <w:p>
            <w:pPr>
              <w:spacing w:line="240" w:lineRule="exact"/>
              <w:jc w:val="center"/>
              <w:rPr>
                <w:rFonts w:hint="eastAsia" w:ascii="宋体" w:hAnsi="宋体" w:cs="仿宋_GB2312"/>
                <w:color w:val="auto"/>
                <w:szCs w:val="21"/>
                <w:highlight w:val="none"/>
              </w:rPr>
            </w:pPr>
            <w:r>
              <w:rPr>
                <w:rFonts w:hint="eastAsia" w:ascii="宋体" w:hAnsi="宋体" w:cs="仿宋_GB2312"/>
                <w:color w:val="auto"/>
                <w:szCs w:val="21"/>
                <w:highlight w:val="none"/>
              </w:rPr>
              <w:t>第二章</w:t>
            </w:r>
          </w:p>
        </w:tc>
        <w:tc>
          <w:tcPr>
            <w:tcW w:w="1478" w:type="dxa"/>
            <w:noWrap w:val="0"/>
            <w:vAlign w:val="center"/>
          </w:tcPr>
          <w:p>
            <w:pPr>
              <w:autoSpaceDE w:val="0"/>
              <w:autoSpaceDN w:val="0"/>
              <w:adjustRightInd w:val="0"/>
              <w:spacing w:line="240" w:lineRule="exact"/>
              <w:jc w:val="center"/>
              <w:rPr>
                <w:rFonts w:ascii="宋体" w:hAnsi="宋体" w:cs="宋体"/>
                <w:color w:val="auto"/>
                <w:kern w:val="0"/>
                <w:szCs w:val="21"/>
                <w:highlight w:val="none"/>
                <w:lang w:val="zh-CN"/>
              </w:rPr>
            </w:pPr>
            <w:r>
              <w:rPr>
                <w:rFonts w:hint="eastAsia" w:ascii="宋体" w:hAnsi="宋体" w:cs="仿宋_GB2312"/>
                <w:color w:val="auto"/>
                <w:szCs w:val="21"/>
                <w:highlight w:val="none"/>
              </w:rPr>
              <w:t>装订要求</w:t>
            </w:r>
          </w:p>
        </w:tc>
        <w:tc>
          <w:tcPr>
            <w:tcW w:w="6558" w:type="dxa"/>
            <w:noWrap w:val="0"/>
            <w:vAlign w:val="center"/>
          </w:tcPr>
          <w:p>
            <w:pPr>
              <w:autoSpaceDE w:val="0"/>
              <w:autoSpaceDN w:val="0"/>
              <w:adjustRightInd w:val="0"/>
              <w:spacing w:before="120" w:line="360" w:lineRule="auto"/>
              <w:jc w:val="left"/>
              <w:rPr>
                <w:rFonts w:hint="eastAsia" w:ascii="宋体" w:hAnsi="宋体" w:eastAsia="宋体" w:cs="宋体"/>
                <w:snapToGrid w:val="0"/>
                <w:color w:val="auto"/>
                <w:kern w:val="0"/>
                <w:sz w:val="21"/>
                <w:szCs w:val="24"/>
                <w:highlight w:val="none"/>
                <w:lang w:val="zh-CN" w:eastAsia="zh-CN" w:bidi="ar-SA"/>
              </w:rPr>
            </w:pPr>
            <w:r>
              <w:rPr>
                <w:rFonts w:hint="eastAsia" w:ascii="宋体" w:hAnsi="宋体" w:eastAsia="宋体" w:cs="宋体"/>
                <w:snapToGrid w:val="0"/>
                <w:color w:val="auto"/>
                <w:kern w:val="0"/>
                <w:sz w:val="21"/>
                <w:szCs w:val="24"/>
                <w:highlight w:val="none"/>
                <w:lang w:val="zh-CN" w:eastAsia="zh-CN" w:bidi="ar-SA"/>
              </w:rPr>
              <w:t>不按第二章3.7.5的要求装订按废标处理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9" w:hRule="atLeast"/>
        </w:trPr>
        <w:tc>
          <w:tcPr>
            <w:tcW w:w="1207" w:type="dxa"/>
            <w:vMerge w:val="restart"/>
            <w:noWrap w:val="0"/>
            <w:vAlign w:val="center"/>
          </w:tcPr>
          <w:p>
            <w:pPr>
              <w:spacing w:line="240" w:lineRule="exact"/>
              <w:jc w:val="center"/>
              <w:rPr>
                <w:rFonts w:hint="eastAsia" w:ascii="宋体" w:hAnsi="宋体" w:cs="仿宋_GB2312"/>
                <w:color w:val="auto"/>
                <w:szCs w:val="21"/>
                <w:highlight w:val="none"/>
              </w:rPr>
            </w:pPr>
            <w:r>
              <w:rPr>
                <w:rFonts w:hint="eastAsia" w:ascii="宋体" w:hAnsi="宋体" w:cs="仿宋_GB2312"/>
                <w:color w:val="auto"/>
                <w:szCs w:val="21"/>
                <w:highlight w:val="none"/>
              </w:rPr>
              <w:t>第三章</w:t>
            </w:r>
          </w:p>
        </w:tc>
        <w:tc>
          <w:tcPr>
            <w:tcW w:w="1478" w:type="dxa"/>
            <w:vMerge w:val="restart"/>
            <w:noWrap w:val="0"/>
            <w:vAlign w:val="center"/>
          </w:tcPr>
          <w:p>
            <w:pPr>
              <w:spacing w:line="240" w:lineRule="exact"/>
              <w:jc w:val="center"/>
              <w:rPr>
                <w:rFonts w:hint="eastAsia" w:ascii="宋体" w:hAnsi="宋体" w:cs="仿宋_GB2312"/>
                <w:color w:val="auto"/>
                <w:szCs w:val="21"/>
                <w:highlight w:val="none"/>
              </w:rPr>
            </w:pPr>
            <w:r>
              <w:rPr>
                <w:rFonts w:hint="eastAsia" w:ascii="宋体" w:hAnsi="宋体" w:cs="仿宋_GB2312"/>
                <w:color w:val="auto"/>
                <w:szCs w:val="21"/>
                <w:highlight w:val="none"/>
              </w:rPr>
              <w:t>初步评审</w:t>
            </w:r>
          </w:p>
        </w:tc>
        <w:tc>
          <w:tcPr>
            <w:tcW w:w="6558" w:type="dxa"/>
            <w:noWrap w:val="0"/>
            <w:vAlign w:val="center"/>
          </w:tcPr>
          <w:p>
            <w:pPr>
              <w:spacing w:line="360" w:lineRule="auto"/>
              <w:ind w:firstLine="315" w:firstLineChars="150"/>
              <w:jc w:val="left"/>
              <w:rPr>
                <w:rFonts w:hint="eastAsia" w:ascii="宋体" w:hAnsi="宋体" w:eastAsia="宋体" w:cs="宋体"/>
                <w:snapToGrid w:val="0"/>
                <w:color w:val="auto"/>
                <w:kern w:val="0"/>
                <w:sz w:val="21"/>
                <w:szCs w:val="24"/>
                <w:highlight w:val="none"/>
                <w:lang w:val="zh-CN" w:eastAsia="zh-CN" w:bidi="ar-SA"/>
              </w:rPr>
            </w:pPr>
            <w:r>
              <w:rPr>
                <w:rFonts w:hint="eastAsia" w:ascii="宋体" w:hAnsi="宋体" w:eastAsia="宋体" w:cs="宋体"/>
                <w:snapToGrid w:val="0"/>
                <w:color w:val="auto"/>
                <w:kern w:val="0"/>
                <w:sz w:val="21"/>
                <w:szCs w:val="24"/>
                <w:highlight w:val="none"/>
                <w:lang w:val="zh-CN" w:eastAsia="zh-CN" w:bidi="ar-SA"/>
              </w:rPr>
              <w:t>评标委员会依据本章第 2.1.1、2.1.2、2.1.3项规定的标准对投标文件进行初步评审。有一项不符合评审标准的，作废标处理。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09" w:hRule="atLeast"/>
        </w:trPr>
        <w:tc>
          <w:tcPr>
            <w:tcW w:w="1207" w:type="dxa"/>
            <w:vMerge w:val="continue"/>
            <w:noWrap w:val="0"/>
            <w:vAlign w:val="center"/>
          </w:tcPr>
          <w:p>
            <w:pPr>
              <w:spacing w:line="240" w:lineRule="exact"/>
              <w:jc w:val="center"/>
              <w:rPr>
                <w:rFonts w:hint="eastAsia" w:ascii="宋体" w:hAnsi="宋体" w:cs="仿宋_GB2312"/>
                <w:color w:val="auto"/>
                <w:szCs w:val="21"/>
                <w:highlight w:val="none"/>
              </w:rPr>
            </w:pPr>
          </w:p>
        </w:tc>
        <w:tc>
          <w:tcPr>
            <w:tcW w:w="1478" w:type="dxa"/>
            <w:vMerge w:val="continue"/>
            <w:noWrap w:val="0"/>
            <w:vAlign w:val="center"/>
          </w:tcPr>
          <w:p>
            <w:pPr>
              <w:spacing w:line="240" w:lineRule="exact"/>
              <w:jc w:val="center"/>
              <w:rPr>
                <w:rFonts w:hint="eastAsia" w:ascii="宋体" w:hAnsi="宋体" w:cs="仿宋_GB2312"/>
                <w:color w:val="auto"/>
                <w:szCs w:val="21"/>
                <w:highlight w:val="none"/>
              </w:rPr>
            </w:pPr>
          </w:p>
        </w:tc>
        <w:tc>
          <w:tcPr>
            <w:tcW w:w="6558" w:type="dxa"/>
            <w:noWrap w:val="0"/>
            <w:vAlign w:val="center"/>
          </w:tcPr>
          <w:p>
            <w:pPr>
              <w:spacing w:line="360" w:lineRule="auto"/>
              <w:ind w:firstLine="420" w:firstLineChars="200"/>
              <w:jc w:val="left"/>
              <w:rPr>
                <w:rFonts w:hint="eastAsia" w:ascii="宋体" w:hAnsi="宋体" w:eastAsia="宋体" w:cs="宋体"/>
                <w:snapToGrid w:val="0"/>
                <w:color w:val="auto"/>
                <w:kern w:val="0"/>
                <w:sz w:val="21"/>
                <w:szCs w:val="24"/>
                <w:highlight w:val="none"/>
                <w:lang w:val="zh-CN" w:eastAsia="zh-CN" w:bidi="ar-SA"/>
              </w:rPr>
            </w:pPr>
            <w:r>
              <w:rPr>
                <w:rFonts w:hint="eastAsia" w:ascii="宋体" w:hAnsi="宋体" w:eastAsia="宋体" w:cs="宋体"/>
                <w:snapToGrid w:val="0"/>
                <w:color w:val="auto"/>
                <w:kern w:val="0"/>
                <w:sz w:val="21"/>
                <w:szCs w:val="24"/>
                <w:highlight w:val="none"/>
                <w:lang w:val="zh-CN" w:eastAsia="zh-CN" w:bidi="ar-SA"/>
              </w:rPr>
              <w:t>投标人有以下情形之一的，其投标作废标处理：</w:t>
            </w:r>
          </w:p>
          <w:p>
            <w:pPr>
              <w:spacing w:line="360" w:lineRule="auto"/>
              <w:ind w:firstLine="420" w:firstLineChars="200"/>
              <w:jc w:val="left"/>
              <w:rPr>
                <w:rFonts w:hint="eastAsia" w:ascii="宋体" w:hAnsi="宋体" w:eastAsia="宋体" w:cs="宋体"/>
                <w:snapToGrid w:val="0"/>
                <w:color w:val="auto"/>
                <w:kern w:val="0"/>
                <w:sz w:val="21"/>
                <w:szCs w:val="24"/>
                <w:highlight w:val="none"/>
                <w:lang w:val="zh-CN" w:eastAsia="zh-CN" w:bidi="ar-SA"/>
              </w:rPr>
            </w:pPr>
            <w:r>
              <w:rPr>
                <w:rFonts w:hint="eastAsia" w:ascii="宋体" w:hAnsi="宋体" w:eastAsia="宋体" w:cs="宋体"/>
                <w:snapToGrid w:val="0"/>
                <w:color w:val="auto"/>
                <w:kern w:val="0"/>
                <w:sz w:val="21"/>
                <w:szCs w:val="24"/>
                <w:highlight w:val="none"/>
                <w:lang w:val="zh-CN" w:eastAsia="zh-CN" w:bidi="ar-SA"/>
              </w:rPr>
              <w:t>（1）第二章“投标人须知”第1.4.3项规定的任何一种情形的；</w:t>
            </w:r>
          </w:p>
          <w:p>
            <w:pPr>
              <w:spacing w:line="360" w:lineRule="auto"/>
              <w:ind w:firstLine="420" w:firstLineChars="200"/>
              <w:jc w:val="left"/>
              <w:rPr>
                <w:rFonts w:hint="eastAsia" w:ascii="宋体" w:hAnsi="宋体" w:eastAsia="宋体" w:cs="宋体"/>
                <w:snapToGrid w:val="0"/>
                <w:color w:val="auto"/>
                <w:kern w:val="0"/>
                <w:sz w:val="21"/>
                <w:szCs w:val="24"/>
                <w:highlight w:val="none"/>
                <w:lang w:val="zh-CN" w:eastAsia="zh-CN" w:bidi="ar-SA"/>
              </w:rPr>
            </w:pPr>
            <w:r>
              <w:rPr>
                <w:rFonts w:hint="eastAsia" w:ascii="宋体" w:hAnsi="宋体" w:eastAsia="宋体" w:cs="宋体"/>
                <w:snapToGrid w:val="0"/>
                <w:color w:val="auto"/>
                <w:kern w:val="0"/>
                <w:sz w:val="21"/>
                <w:szCs w:val="24"/>
                <w:highlight w:val="none"/>
                <w:lang w:val="zh-CN" w:eastAsia="zh-CN" w:bidi="ar-SA"/>
              </w:rPr>
              <w:t>（2）串通投标或弄虚作假或有其他违法行为的；</w:t>
            </w:r>
          </w:p>
          <w:p>
            <w:pPr>
              <w:spacing w:line="360" w:lineRule="auto"/>
              <w:ind w:firstLine="420" w:firstLineChars="200"/>
              <w:jc w:val="left"/>
              <w:rPr>
                <w:rFonts w:hint="eastAsia" w:ascii="宋体" w:hAnsi="宋体" w:eastAsia="宋体" w:cs="宋体"/>
                <w:snapToGrid w:val="0"/>
                <w:color w:val="auto"/>
                <w:kern w:val="0"/>
                <w:sz w:val="21"/>
                <w:szCs w:val="24"/>
                <w:highlight w:val="none"/>
                <w:lang w:val="zh-CN" w:eastAsia="zh-CN" w:bidi="ar-SA"/>
              </w:rPr>
            </w:pPr>
            <w:r>
              <w:rPr>
                <w:rFonts w:hint="eastAsia" w:ascii="宋体" w:hAnsi="宋体" w:eastAsia="宋体" w:cs="宋体"/>
                <w:snapToGrid w:val="0"/>
                <w:color w:val="auto"/>
                <w:kern w:val="0"/>
                <w:sz w:val="21"/>
                <w:szCs w:val="24"/>
                <w:highlight w:val="none"/>
                <w:lang w:val="zh-CN" w:eastAsia="zh-CN" w:bidi="ar-SA"/>
              </w:rPr>
              <w:t>（3）不按评标委员会要求澄清、说明或补正的。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0" w:hRule="atLeast"/>
        </w:trPr>
        <w:tc>
          <w:tcPr>
            <w:tcW w:w="1207" w:type="dxa"/>
            <w:vMerge w:val="continue"/>
            <w:noWrap w:val="0"/>
            <w:vAlign w:val="center"/>
          </w:tcPr>
          <w:p>
            <w:pPr>
              <w:spacing w:line="240" w:lineRule="exact"/>
              <w:jc w:val="center"/>
              <w:rPr>
                <w:rFonts w:hint="eastAsia" w:ascii="宋体" w:hAnsi="宋体" w:cs="仿宋_GB2312"/>
                <w:color w:val="auto"/>
                <w:szCs w:val="21"/>
                <w:highlight w:val="none"/>
              </w:rPr>
            </w:pPr>
          </w:p>
        </w:tc>
        <w:tc>
          <w:tcPr>
            <w:tcW w:w="1478" w:type="dxa"/>
            <w:vMerge w:val="continue"/>
            <w:noWrap w:val="0"/>
            <w:vAlign w:val="center"/>
          </w:tcPr>
          <w:p>
            <w:pPr>
              <w:spacing w:line="240" w:lineRule="exact"/>
              <w:jc w:val="center"/>
              <w:rPr>
                <w:rFonts w:hint="eastAsia" w:ascii="宋体" w:hAnsi="宋体" w:cs="仿宋_GB2312"/>
                <w:color w:val="auto"/>
                <w:szCs w:val="21"/>
                <w:highlight w:val="none"/>
              </w:rPr>
            </w:pPr>
          </w:p>
        </w:tc>
        <w:tc>
          <w:tcPr>
            <w:tcW w:w="6558" w:type="dxa"/>
            <w:noWrap w:val="0"/>
            <w:vAlign w:val="center"/>
          </w:tcPr>
          <w:p>
            <w:pPr>
              <w:spacing w:line="360" w:lineRule="auto"/>
              <w:ind w:firstLine="420" w:firstLineChars="200"/>
              <w:jc w:val="left"/>
              <w:rPr>
                <w:rFonts w:hint="eastAsia" w:ascii="宋体" w:hAnsi="宋体" w:eastAsia="宋体" w:cs="宋体"/>
                <w:snapToGrid w:val="0"/>
                <w:color w:val="auto"/>
                <w:kern w:val="0"/>
                <w:sz w:val="21"/>
                <w:szCs w:val="24"/>
                <w:highlight w:val="none"/>
                <w:lang w:val="zh-CN" w:eastAsia="zh-CN" w:bidi="ar-SA"/>
              </w:rPr>
            </w:pPr>
            <w:r>
              <w:rPr>
                <w:rFonts w:hint="eastAsia" w:ascii="宋体" w:hAnsi="宋体" w:eastAsia="宋体" w:cs="宋体"/>
                <w:snapToGrid w:val="0"/>
                <w:color w:val="auto"/>
                <w:kern w:val="0"/>
                <w:sz w:val="21"/>
                <w:szCs w:val="24"/>
                <w:highlight w:val="none"/>
                <w:lang w:val="zh-CN" w:eastAsia="zh-CN" w:bidi="ar-SA"/>
              </w:rPr>
              <w:t>投标报价有算术错误的，评标委员会按以下原则对投标报价进行修正，修正的价格经投标人书面确认后具有约束力。投标人不接受修正价格的，其投标作废标处理。</w:t>
            </w:r>
          </w:p>
        </w:tc>
      </w:tr>
    </w:tbl>
    <w:p>
      <w:pPr>
        <w:pStyle w:val="48"/>
        <w:spacing w:before="0" w:beforeAutospacing="0" w:after="0" w:afterAutospacing="0"/>
        <w:jc w:val="both"/>
        <w:rPr>
          <w:rFonts w:hint="eastAsia" w:ascii="宋体" w:hAnsi="宋体" w:eastAsia="宋体" w:cs="宋体"/>
          <w:b/>
          <w:color w:val="auto"/>
          <w:sz w:val="36"/>
          <w:szCs w:val="36"/>
          <w:highlight w:val="none"/>
        </w:rPr>
      </w:pPr>
    </w:p>
    <w:p>
      <w:pPr>
        <w:pStyle w:val="48"/>
        <w:spacing w:before="0" w:beforeAutospacing="0" w:after="0" w:afterAutospacing="0"/>
        <w:jc w:val="both"/>
        <w:rPr>
          <w:rFonts w:hint="eastAsia" w:ascii="宋体" w:hAnsi="宋体" w:eastAsia="宋体" w:cs="宋体"/>
          <w:b/>
          <w:color w:val="auto"/>
          <w:sz w:val="36"/>
          <w:szCs w:val="36"/>
          <w:highlight w:val="none"/>
        </w:rPr>
      </w:pPr>
    </w:p>
    <w:p>
      <w:pPr>
        <w:pStyle w:val="48"/>
        <w:spacing w:before="0" w:beforeAutospacing="0" w:after="0" w:afterAutospacing="0"/>
        <w:jc w:val="both"/>
        <w:rPr>
          <w:rFonts w:hint="eastAsia" w:ascii="宋体" w:hAnsi="宋体" w:eastAsia="宋体" w:cs="宋体"/>
          <w:b/>
          <w:color w:val="auto"/>
          <w:sz w:val="36"/>
          <w:szCs w:val="36"/>
          <w:highlight w:val="none"/>
        </w:rPr>
      </w:pPr>
    </w:p>
    <w:p>
      <w:pPr>
        <w:pStyle w:val="3"/>
        <w:spacing w:line="360" w:lineRule="auto"/>
        <w:jc w:val="center"/>
        <w:rPr>
          <w:rFonts w:ascii="宋体" w:hAnsi="宋体"/>
          <w:b/>
          <w:bCs/>
          <w:color w:val="auto"/>
          <w:kern w:val="0"/>
          <w:sz w:val="44"/>
          <w:szCs w:val="44"/>
          <w:highlight w:val="none"/>
        </w:rPr>
      </w:pPr>
      <w:r>
        <w:rPr>
          <w:rFonts w:hint="eastAsia" w:ascii="宋体" w:hAnsi="宋体" w:eastAsia="宋体" w:cs="宋体"/>
          <w:color w:val="auto"/>
          <w:highlight w:val="none"/>
        </w:rPr>
        <w:br w:type="page"/>
      </w:r>
      <w:bookmarkEnd w:id="13"/>
      <w:bookmarkStart w:id="96" w:name="_Toc4204"/>
      <w:bookmarkStart w:id="97" w:name="_Toc28751"/>
      <w:bookmarkStart w:id="98" w:name="_Toc430530509"/>
      <w:bookmarkStart w:id="99" w:name="_Toc509218785"/>
      <w:r>
        <w:rPr>
          <w:rFonts w:hint="eastAsia" w:ascii="宋体" w:hAnsi="宋体"/>
          <w:b/>
          <w:bCs/>
          <w:color w:val="auto"/>
          <w:kern w:val="0"/>
          <w:sz w:val="44"/>
          <w:szCs w:val="44"/>
          <w:highlight w:val="none"/>
        </w:rPr>
        <w:t>第四章  合同条款及格式</w:t>
      </w:r>
      <w:bookmarkEnd w:id="96"/>
      <w:bookmarkEnd w:id="97"/>
      <w:bookmarkEnd w:id="98"/>
      <w:bookmarkEnd w:id="99"/>
    </w:p>
    <w:p>
      <w:pPr>
        <w:pStyle w:val="3"/>
        <w:outlineLvl w:val="9"/>
        <w:rPr>
          <w:rFonts w:hint="eastAsia" w:ascii="宋体" w:hAnsi="宋体" w:eastAsia="宋体" w:cs="宋体"/>
          <w:b/>
          <w:color w:val="auto"/>
          <w:szCs w:val="28"/>
          <w:highlight w:val="none"/>
        </w:rPr>
      </w:pPr>
      <w:bookmarkStart w:id="100" w:name="_Toc11813"/>
      <w:bookmarkStart w:id="101" w:name="_Toc25905"/>
      <w:r>
        <w:rPr>
          <w:rFonts w:hint="eastAsia"/>
          <w:color w:val="auto"/>
          <w:sz w:val="24"/>
          <w:szCs w:val="32"/>
          <w:highlight w:val="none"/>
        </w:rPr>
        <w:t>按现行相关法律法规自行签订</w:t>
      </w:r>
      <w:bookmarkEnd w:id="100"/>
      <w:bookmarkEnd w:id="101"/>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line="360" w:lineRule="auto"/>
        <w:jc w:val="center"/>
        <w:rPr>
          <w:rFonts w:hint="eastAsia" w:ascii="宋体" w:hAnsi="宋体"/>
          <w:b/>
          <w:bCs/>
          <w:color w:val="auto"/>
          <w:kern w:val="0"/>
          <w:sz w:val="44"/>
          <w:szCs w:val="44"/>
          <w:highlight w:val="none"/>
        </w:rPr>
      </w:pPr>
      <w:bookmarkStart w:id="102" w:name="_Toc81320395"/>
      <w:r>
        <w:rPr>
          <w:rFonts w:hint="eastAsia" w:ascii="宋体" w:hAnsi="宋体"/>
          <w:b/>
          <w:bCs/>
          <w:color w:val="auto"/>
          <w:kern w:val="0"/>
          <w:sz w:val="44"/>
          <w:szCs w:val="44"/>
          <w:highlight w:val="none"/>
        </w:rPr>
        <w:t xml:space="preserve"> </w:t>
      </w:r>
      <w:bookmarkEnd w:id="102"/>
      <w:bookmarkStart w:id="103" w:name="_Toc81320396"/>
      <w:r>
        <w:rPr>
          <w:rFonts w:hint="eastAsia" w:ascii="宋体" w:hAnsi="宋体"/>
          <w:b/>
          <w:bCs/>
          <w:color w:val="auto"/>
          <w:kern w:val="0"/>
          <w:sz w:val="44"/>
          <w:szCs w:val="44"/>
          <w:highlight w:val="none"/>
        </w:rPr>
        <w:t xml:space="preserve"> </w:t>
      </w:r>
    </w:p>
    <w:p>
      <w:pPr>
        <w:spacing w:line="400" w:lineRule="atLeast"/>
        <w:jc w:val="center"/>
        <w:outlineLvl w:val="0"/>
        <w:rPr>
          <w:rFonts w:hint="eastAsia" w:ascii="Times New Roman" w:hAnsi="Times New Roman" w:eastAsia="宋体" w:cs="Times New Roman"/>
          <w:b/>
          <w:bCs/>
          <w:color w:val="auto"/>
          <w:kern w:val="0"/>
          <w:sz w:val="44"/>
          <w:szCs w:val="44"/>
          <w:highlight w:val="none"/>
          <w:lang w:val="en-US" w:eastAsia="zh-CN" w:bidi="ar-SA"/>
        </w:rPr>
      </w:pPr>
      <w:bookmarkStart w:id="104" w:name="_Toc22366"/>
      <w:bookmarkStart w:id="105" w:name="_Toc287607863"/>
      <w:bookmarkStart w:id="106" w:name="_Toc287620807"/>
      <w:bookmarkStart w:id="107" w:name="_Toc23389"/>
      <w:bookmarkStart w:id="108" w:name="_Toc10335"/>
      <w:r>
        <w:rPr>
          <w:rFonts w:hint="eastAsia" w:ascii="Times New Roman" w:hAnsi="Times New Roman" w:eastAsia="宋体" w:cs="Times New Roman"/>
          <w:b/>
          <w:bCs/>
          <w:color w:val="auto"/>
          <w:kern w:val="0"/>
          <w:sz w:val="44"/>
          <w:szCs w:val="44"/>
          <w:highlight w:val="none"/>
          <w:lang w:val="en-US" w:eastAsia="zh-CN" w:bidi="ar-SA"/>
        </w:rPr>
        <w:t>第五章　技术标准和要求</w:t>
      </w:r>
      <w:bookmarkEnd w:id="104"/>
      <w:bookmarkEnd w:id="105"/>
      <w:bookmarkEnd w:id="106"/>
      <w:bookmarkEnd w:id="107"/>
      <w:bookmarkEnd w:id="108"/>
    </w:p>
    <w:p>
      <w:pPr>
        <w:spacing w:line="400" w:lineRule="atLeast"/>
        <w:ind w:firstLine="1890" w:firstLineChars="900"/>
        <w:jc w:val="left"/>
        <w:rPr>
          <w:rFonts w:hint="eastAsia"/>
          <w:color w:val="auto"/>
          <w:szCs w:val="20"/>
          <w:highlight w:val="none"/>
        </w:rPr>
      </w:pPr>
      <w:r>
        <w:rPr>
          <w:rFonts w:hint="eastAsia"/>
          <w:color w:val="auto"/>
          <w:szCs w:val="20"/>
          <w:highlight w:val="none"/>
        </w:rPr>
        <w:t>本工程按现行国家、行业和地方规范、标准和规程执行。</w:t>
      </w:r>
    </w:p>
    <w:p>
      <w:pPr>
        <w:numPr>
          <w:ilvl w:val="0"/>
          <w:numId w:val="0"/>
        </w:numPr>
        <w:rPr>
          <w:rFonts w:hint="eastAsia"/>
          <w:color w:val="auto"/>
          <w:highlight w:val="none"/>
        </w:rPr>
      </w:pPr>
    </w:p>
    <w:p>
      <w:pPr>
        <w:rPr>
          <w:rFonts w:hint="eastAsia" w:eastAsia="宋体" w:cs="宋体"/>
          <w:b/>
          <w:color w:val="auto"/>
          <w:sz w:val="44"/>
          <w:szCs w:val="44"/>
          <w:highlight w:val="none"/>
          <w:lang w:val="en-US" w:eastAsia="zh-CN"/>
        </w:rPr>
      </w:pPr>
    </w:p>
    <w:p>
      <w:pPr>
        <w:pStyle w:val="2"/>
        <w:rPr>
          <w:rFonts w:hint="eastAsia" w:eastAsia="宋体" w:cs="宋体"/>
          <w:b/>
          <w:color w:val="auto"/>
          <w:sz w:val="44"/>
          <w:szCs w:val="44"/>
          <w:highlight w:val="none"/>
          <w:lang w:val="en-US" w:eastAsia="zh-CN"/>
        </w:rPr>
      </w:pPr>
    </w:p>
    <w:p>
      <w:pPr>
        <w:rPr>
          <w:rFonts w:hint="eastAsia" w:eastAsia="宋体" w:cs="宋体"/>
          <w:b/>
          <w:color w:val="auto"/>
          <w:sz w:val="44"/>
          <w:szCs w:val="44"/>
          <w:highlight w:val="none"/>
          <w:lang w:val="en-US" w:eastAsia="zh-CN"/>
        </w:rPr>
      </w:pPr>
    </w:p>
    <w:p>
      <w:pPr>
        <w:pStyle w:val="2"/>
        <w:rPr>
          <w:rFonts w:hint="eastAsia" w:eastAsia="宋体" w:cs="宋体"/>
          <w:b/>
          <w:color w:val="auto"/>
          <w:sz w:val="44"/>
          <w:szCs w:val="44"/>
          <w:highlight w:val="none"/>
          <w:lang w:val="en-US" w:eastAsia="zh-CN"/>
        </w:rPr>
      </w:pPr>
    </w:p>
    <w:p>
      <w:pPr>
        <w:rPr>
          <w:rFonts w:hint="eastAsia" w:eastAsia="宋体" w:cs="宋体"/>
          <w:b/>
          <w:color w:val="auto"/>
          <w:sz w:val="44"/>
          <w:szCs w:val="44"/>
          <w:highlight w:val="none"/>
          <w:lang w:val="en-US" w:eastAsia="zh-CN"/>
        </w:rPr>
      </w:pPr>
    </w:p>
    <w:p>
      <w:pPr>
        <w:pStyle w:val="2"/>
        <w:rPr>
          <w:rFonts w:hint="eastAsia" w:eastAsia="宋体" w:cs="宋体"/>
          <w:b/>
          <w:color w:val="auto"/>
          <w:sz w:val="44"/>
          <w:szCs w:val="44"/>
          <w:highlight w:val="none"/>
          <w:lang w:val="en-US" w:eastAsia="zh-CN"/>
        </w:rPr>
      </w:pPr>
    </w:p>
    <w:p>
      <w:pPr>
        <w:rPr>
          <w:rFonts w:hint="eastAsia" w:eastAsia="宋体" w:cs="宋体"/>
          <w:b/>
          <w:color w:val="auto"/>
          <w:sz w:val="44"/>
          <w:szCs w:val="44"/>
          <w:highlight w:val="none"/>
          <w:lang w:val="en-US" w:eastAsia="zh-CN"/>
        </w:rPr>
      </w:pPr>
    </w:p>
    <w:p>
      <w:pPr>
        <w:pStyle w:val="2"/>
        <w:rPr>
          <w:rFonts w:hint="eastAsia" w:eastAsia="宋体" w:cs="宋体"/>
          <w:b/>
          <w:color w:val="auto"/>
          <w:sz w:val="44"/>
          <w:szCs w:val="44"/>
          <w:highlight w:val="none"/>
          <w:lang w:val="en-US" w:eastAsia="zh-CN"/>
        </w:rPr>
      </w:pPr>
    </w:p>
    <w:p>
      <w:pPr>
        <w:rPr>
          <w:rFonts w:hint="eastAsia" w:eastAsia="宋体" w:cs="宋体"/>
          <w:b/>
          <w:color w:val="auto"/>
          <w:sz w:val="44"/>
          <w:szCs w:val="44"/>
          <w:highlight w:val="none"/>
          <w:lang w:val="en-US" w:eastAsia="zh-CN"/>
        </w:rPr>
      </w:pPr>
    </w:p>
    <w:p>
      <w:pPr>
        <w:pStyle w:val="2"/>
        <w:rPr>
          <w:rFonts w:hint="eastAsia" w:eastAsia="宋体" w:cs="宋体"/>
          <w:b/>
          <w:color w:val="auto"/>
          <w:sz w:val="44"/>
          <w:szCs w:val="44"/>
          <w:highlight w:val="none"/>
          <w:lang w:val="en-US" w:eastAsia="zh-CN"/>
        </w:rPr>
      </w:pPr>
    </w:p>
    <w:p>
      <w:pPr>
        <w:rPr>
          <w:rFonts w:hint="eastAsia" w:eastAsia="宋体" w:cs="宋体"/>
          <w:b/>
          <w:color w:val="auto"/>
          <w:sz w:val="44"/>
          <w:szCs w:val="44"/>
          <w:highlight w:val="none"/>
          <w:lang w:val="en-US" w:eastAsia="zh-CN"/>
        </w:rPr>
      </w:pPr>
    </w:p>
    <w:p>
      <w:pPr>
        <w:pStyle w:val="2"/>
        <w:rPr>
          <w:rFonts w:hint="eastAsia" w:eastAsia="宋体" w:cs="宋体"/>
          <w:b/>
          <w:color w:val="auto"/>
          <w:sz w:val="44"/>
          <w:szCs w:val="44"/>
          <w:highlight w:val="none"/>
          <w:lang w:val="en-US" w:eastAsia="zh-CN"/>
        </w:rPr>
      </w:pPr>
    </w:p>
    <w:p>
      <w:pPr>
        <w:rPr>
          <w:rFonts w:hint="eastAsia" w:eastAsia="宋体" w:cs="宋体"/>
          <w:b/>
          <w:color w:val="auto"/>
          <w:sz w:val="44"/>
          <w:szCs w:val="44"/>
          <w:highlight w:val="none"/>
          <w:lang w:val="en-US" w:eastAsia="zh-CN"/>
        </w:rPr>
      </w:pPr>
    </w:p>
    <w:p>
      <w:pPr>
        <w:pStyle w:val="2"/>
        <w:rPr>
          <w:rFonts w:hint="eastAsia" w:eastAsia="宋体" w:cs="宋体"/>
          <w:b/>
          <w:color w:val="auto"/>
          <w:sz w:val="44"/>
          <w:szCs w:val="44"/>
          <w:highlight w:val="none"/>
          <w:lang w:val="en-US" w:eastAsia="zh-CN"/>
        </w:rPr>
      </w:pPr>
    </w:p>
    <w:p>
      <w:pPr>
        <w:rPr>
          <w:rFonts w:hint="eastAsia" w:eastAsia="宋体" w:cs="宋体"/>
          <w:b/>
          <w:color w:val="auto"/>
          <w:sz w:val="44"/>
          <w:szCs w:val="44"/>
          <w:highlight w:val="none"/>
          <w:lang w:val="en-US" w:eastAsia="zh-CN"/>
        </w:rPr>
      </w:pPr>
    </w:p>
    <w:p>
      <w:pPr>
        <w:pStyle w:val="2"/>
        <w:rPr>
          <w:rFonts w:hint="eastAsia" w:eastAsia="宋体" w:cs="宋体"/>
          <w:b/>
          <w:color w:val="auto"/>
          <w:sz w:val="44"/>
          <w:szCs w:val="44"/>
          <w:highlight w:val="none"/>
          <w:lang w:val="en-US" w:eastAsia="zh-CN"/>
        </w:rPr>
      </w:pPr>
    </w:p>
    <w:p>
      <w:pPr>
        <w:rPr>
          <w:rFonts w:hint="eastAsia" w:eastAsia="宋体" w:cs="宋体"/>
          <w:b/>
          <w:color w:val="auto"/>
          <w:sz w:val="44"/>
          <w:szCs w:val="44"/>
          <w:highlight w:val="none"/>
          <w:lang w:val="en-US" w:eastAsia="zh-CN"/>
        </w:rPr>
      </w:pPr>
    </w:p>
    <w:p>
      <w:pPr>
        <w:pStyle w:val="2"/>
        <w:rPr>
          <w:rFonts w:hint="eastAsia"/>
          <w:color w:val="auto"/>
          <w:highlight w:val="none"/>
          <w:lang w:val="en-US" w:eastAsia="zh-CN"/>
        </w:rPr>
      </w:pPr>
    </w:p>
    <w:p>
      <w:pPr>
        <w:pStyle w:val="3"/>
        <w:numPr>
          <w:ilvl w:val="0"/>
          <w:numId w:val="0"/>
        </w:numPr>
        <w:ind w:firstLine="1325" w:firstLineChars="300"/>
        <w:jc w:val="both"/>
        <w:rPr>
          <w:rFonts w:hint="eastAsia" w:ascii="宋体" w:hAnsi="宋体"/>
          <w:b/>
          <w:bCs/>
          <w:color w:val="auto"/>
          <w:kern w:val="0"/>
          <w:sz w:val="44"/>
          <w:szCs w:val="44"/>
          <w:highlight w:val="none"/>
        </w:rPr>
      </w:pPr>
    </w:p>
    <w:p>
      <w:pPr>
        <w:pStyle w:val="3"/>
        <w:numPr>
          <w:ilvl w:val="0"/>
          <w:numId w:val="0"/>
        </w:numPr>
        <w:ind w:firstLine="1325" w:firstLineChars="300"/>
        <w:jc w:val="both"/>
        <w:rPr>
          <w:rFonts w:hint="eastAsia" w:ascii="宋体" w:hAnsi="宋体"/>
          <w:b/>
          <w:bCs/>
          <w:color w:val="auto"/>
          <w:kern w:val="0"/>
          <w:sz w:val="44"/>
          <w:szCs w:val="44"/>
          <w:highlight w:val="none"/>
        </w:rPr>
      </w:pPr>
    </w:p>
    <w:p>
      <w:pPr>
        <w:pStyle w:val="3"/>
        <w:numPr>
          <w:ilvl w:val="0"/>
          <w:numId w:val="0"/>
        </w:numPr>
        <w:ind w:firstLine="1325" w:firstLineChars="300"/>
        <w:jc w:val="center"/>
        <w:rPr>
          <w:rFonts w:hint="eastAsia" w:ascii="宋体" w:hAnsi="宋体" w:eastAsia="宋体" w:cs="宋体"/>
          <w:color w:val="auto"/>
          <w:sz w:val="44"/>
          <w:szCs w:val="44"/>
          <w:highlight w:val="none"/>
        </w:rPr>
      </w:pPr>
      <w:bookmarkStart w:id="109" w:name="_Toc15031"/>
      <w:r>
        <w:rPr>
          <w:rFonts w:hint="eastAsia" w:ascii="宋体" w:hAnsi="宋体"/>
          <w:b/>
          <w:bCs/>
          <w:color w:val="auto"/>
          <w:kern w:val="0"/>
          <w:sz w:val="44"/>
          <w:szCs w:val="44"/>
          <w:highlight w:val="none"/>
        </w:rPr>
        <w:t>第</w:t>
      </w:r>
      <w:r>
        <w:rPr>
          <w:rFonts w:hint="eastAsia" w:ascii="宋体" w:hAnsi="宋体"/>
          <w:b/>
          <w:bCs/>
          <w:color w:val="auto"/>
          <w:kern w:val="0"/>
          <w:sz w:val="44"/>
          <w:szCs w:val="44"/>
          <w:highlight w:val="none"/>
          <w:lang w:val="en-US" w:eastAsia="zh-CN"/>
        </w:rPr>
        <w:t>六</w:t>
      </w:r>
      <w:r>
        <w:rPr>
          <w:rFonts w:hint="eastAsia" w:ascii="宋体" w:hAnsi="宋体"/>
          <w:b/>
          <w:bCs/>
          <w:color w:val="auto"/>
          <w:kern w:val="0"/>
          <w:sz w:val="44"/>
          <w:szCs w:val="44"/>
          <w:highlight w:val="none"/>
        </w:rPr>
        <w:t>章</w:t>
      </w:r>
      <w:r>
        <w:rPr>
          <w:rFonts w:hint="eastAsia" w:ascii="宋体" w:hAnsi="宋体"/>
          <w:b/>
          <w:bCs/>
          <w:color w:val="auto"/>
          <w:kern w:val="0"/>
          <w:sz w:val="44"/>
          <w:szCs w:val="44"/>
          <w:highlight w:val="none"/>
          <w:lang w:val="en-US" w:eastAsia="zh-CN"/>
        </w:rPr>
        <w:t xml:space="preserve"> </w:t>
      </w:r>
      <w:r>
        <w:rPr>
          <w:rFonts w:hint="eastAsia" w:ascii="宋体" w:hAnsi="宋体" w:eastAsia="宋体" w:cs="宋体"/>
          <w:b/>
          <w:color w:val="auto"/>
          <w:sz w:val="44"/>
          <w:szCs w:val="44"/>
          <w:highlight w:val="none"/>
        </w:rPr>
        <w:t>投标文件格式</w:t>
      </w:r>
      <w:bookmarkEnd w:id="103"/>
      <w:bookmarkEnd w:id="109"/>
    </w:p>
    <w:p>
      <w:pPr>
        <w:jc w:val="center"/>
        <w:rPr>
          <w:rFonts w:hint="eastAsia" w:ascii="宋体" w:hAnsi="宋体" w:eastAsia="宋体" w:cs="宋体"/>
          <w:b/>
          <w:color w:val="auto"/>
          <w:sz w:val="28"/>
          <w:szCs w:val="28"/>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8"/>
        <w:rPr>
          <w:rFonts w:hint="eastAsia"/>
          <w:color w:val="auto"/>
          <w:highlight w:val="none"/>
        </w:rPr>
      </w:pPr>
    </w:p>
    <w:p>
      <w:pPr>
        <w:autoSpaceDE w:val="0"/>
        <w:autoSpaceDN w:val="0"/>
        <w:adjustRightInd w:val="0"/>
        <w:spacing w:line="200" w:lineRule="exact"/>
        <w:jc w:val="left"/>
        <w:rPr>
          <w:rFonts w:hint="eastAsia" w:ascii="宋体" w:hAnsi="宋体" w:eastAsia="宋体" w:cs="宋体"/>
          <w:b/>
          <w:bCs/>
          <w:color w:val="auto"/>
          <w:sz w:val="44"/>
          <w:szCs w:val="44"/>
          <w:highlight w:val="none"/>
        </w:rPr>
      </w:pP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highlight w:val="none"/>
        </w:rPr>
      </w:pPr>
    </w:p>
    <w:p>
      <w:pPr>
        <w:pStyle w:val="3"/>
        <w:spacing w:line="360" w:lineRule="auto"/>
        <w:jc w:val="center"/>
        <w:rPr>
          <w:rFonts w:hint="eastAsia" w:ascii="宋体" w:hAnsi="宋体"/>
          <w:b w:val="0"/>
          <w:color w:val="auto"/>
          <w:highlight w:val="none"/>
        </w:rPr>
      </w:pPr>
      <w:bookmarkStart w:id="110" w:name="_Toc26821"/>
      <w:bookmarkStart w:id="111" w:name="_Toc271"/>
      <w:r>
        <w:rPr>
          <w:rFonts w:hint="eastAsia" w:ascii="宋体" w:hAnsi="宋体"/>
          <w:b w:val="0"/>
          <w:color w:val="auto"/>
          <w:sz w:val="30"/>
          <w:szCs w:val="30"/>
          <w:highlight w:val="none"/>
        </w:rPr>
        <w:t>目    录</w:t>
      </w:r>
      <w:bookmarkEnd w:id="110"/>
      <w:bookmarkEnd w:id="111"/>
    </w:p>
    <w:p>
      <w:pPr>
        <w:autoSpaceDE w:val="0"/>
        <w:autoSpaceDN w:val="0"/>
        <w:adjustRightInd w:val="0"/>
        <w:snapToGrid w:val="0"/>
        <w:spacing w:line="360" w:lineRule="auto"/>
        <w:jc w:val="left"/>
        <w:rPr>
          <w:rFonts w:hint="eastAsia" w:ascii="宋体" w:hAnsi="宋体" w:cs="仿宋_GB2312"/>
          <w:color w:val="auto"/>
          <w:kern w:val="0"/>
          <w:sz w:val="24"/>
          <w:highlight w:val="none"/>
        </w:rPr>
      </w:pPr>
    </w:p>
    <w:p>
      <w:pPr>
        <w:autoSpaceDE w:val="0"/>
        <w:autoSpaceDN w:val="0"/>
        <w:adjustRightInd w:val="0"/>
        <w:spacing w:before="74" w:line="400" w:lineRule="exact"/>
        <w:ind w:left="120" w:right="-29" w:firstLine="420"/>
        <w:jc w:val="left"/>
        <w:outlineLvl w:val="0"/>
        <w:rPr>
          <w:rFonts w:hint="eastAsia" w:ascii="宋体" w:hAnsi="宋体" w:eastAsia="宋体" w:cs="MingLiU"/>
          <w:snapToGrid w:val="0"/>
          <w:color w:val="auto"/>
          <w:kern w:val="0"/>
          <w:sz w:val="24"/>
          <w:szCs w:val="28"/>
          <w:highlight w:val="none"/>
          <w:lang w:eastAsia="zh-CN"/>
        </w:rPr>
      </w:pPr>
      <w:bookmarkStart w:id="112" w:name="_Toc21280"/>
      <w:bookmarkStart w:id="113" w:name="_Toc29839"/>
      <w:r>
        <w:rPr>
          <w:rFonts w:hint="eastAsia" w:ascii="宋体" w:hAnsi="宋体" w:cs="MingLiU"/>
          <w:snapToGrid w:val="0"/>
          <w:color w:val="auto"/>
          <w:kern w:val="0"/>
          <w:sz w:val="24"/>
          <w:szCs w:val="28"/>
          <w:highlight w:val="none"/>
        </w:rPr>
        <w:t>一、投标函部分</w:t>
      </w:r>
      <w:r>
        <w:rPr>
          <w:rFonts w:hint="eastAsia" w:ascii="宋体" w:hAnsi="宋体" w:cs="MingLiU"/>
          <w:snapToGrid w:val="0"/>
          <w:color w:val="auto"/>
          <w:kern w:val="0"/>
          <w:sz w:val="24"/>
          <w:szCs w:val="28"/>
          <w:highlight w:val="none"/>
          <w:lang w:eastAsia="zh-CN"/>
        </w:rPr>
        <w:t>（</w:t>
      </w:r>
      <w:r>
        <w:rPr>
          <w:rFonts w:hint="eastAsia" w:ascii="宋体" w:hAnsi="宋体" w:cs="MingLiU"/>
          <w:snapToGrid w:val="0"/>
          <w:color w:val="auto"/>
          <w:kern w:val="0"/>
          <w:sz w:val="24"/>
          <w:szCs w:val="28"/>
          <w:highlight w:val="none"/>
          <w:lang w:val="en-US" w:eastAsia="zh-CN"/>
        </w:rPr>
        <w:t>含资格审查资料</w:t>
      </w:r>
      <w:r>
        <w:rPr>
          <w:rFonts w:hint="eastAsia" w:ascii="宋体" w:hAnsi="宋体" w:cs="MingLiU"/>
          <w:snapToGrid w:val="0"/>
          <w:color w:val="auto"/>
          <w:kern w:val="0"/>
          <w:sz w:val="24"/>
          <w:szCs w:val="28"/>
          <w:highlight w:val="none"/>
          <w:lang w:eastAsia="zh-CN"/>
        </w:rPr>
        <w:t>）</w:t>
      </w:r>
      <w:bookmarkEnd w:id="112"/>
      <w:bookmarkEnd w:id="113"/>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bookmarkStart w:id="114" w:name="_Toc2863"/>
      <w:bookmarkStart w:id="115" w:name="_Toc16228"/>
      <w:r>
        <w:rPr>
          <w:rFonts w:hint="eastAsia" w:ascii="宋体" w:hAnsi="宋体" w:cs="MingLiU"/>
          <w:snapToGrid w:val="0"/>
          <w:color w:val="auto"/>
          <w:kern w:val="0"/>
          <w:szCs w:val="21"/>
          <w:highlight w:val="none"/>
        </w:rPr>
        <w:t>（一）投标函</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（二）法定代表人身份证明及授权委托书</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（三）投标人基本情况表</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（四）</w:t>
      </w:r>
      <w:r>
        <w:rPr>
          <w:rFonts w:hint="eastAsia" w:ascii="宋体" w:hAnsi="宋体" w:cs="MingLiU"/>
          <w:snapToGrid w:val="0"/>
          <w:color w:val="auto"/>
          <w:kern w:val="0"/>
          <w:szCs w:val="21"/>
          <w:highlight w:val="none"/>
          <w:lang w:val="en-US" w:eastAsia="zh-CN"/>
        </w:rPr>
        <w:t>业绩要求</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lang w:val="en-US" w:eastAsia="zh-CN"/>
        </w:rPr>
      </w:pPr>
      <w:r>
        <w:rPr>
          <w:rFonts w:hint="eastAsia" w:ascii="宋体" w:hAnsi="宋体" w:cs="MingLiU"/>
          <w:snapToGrid w:val="0"/>
          <w:color w:val="auto"/>
          <w:kern w:val="0"/>
          <w:szCs w:val="21"/>
          <w:highlight w:val="none"/>
        </w:rPr>
        <w:t>（</w:t>
      </w:r>
      <w:r>
        <w:rPr>
          <w:rFonts w:hint="eastAsia" w:ascii="宋体" w:hAnsi="宋体" w:cs="MingLiU"/>
          <w:snapToGrid w:val="0"/>
          <w:color w:val="auto"/>
          <w:kern w:val="0"/>
          <w:szCs w:val="21"/>
          <w:highlight w:val="none"/>
          <w:lang w:val="en-US" w:eastAsia="zh-CN"/>
        </w:rPr>
        <w:t>五</w:t>
      </w:r>
      <w:r>
        <w:rPr>
          <w:rFonts w:hint="eastAsia" w:ascii="宋体" w:hAnsi="宋体" w:cs="MingLiU"/>
          <w:snapToGrid w:val="0"/>
          <w:color w:val="auto"/>
          <w:kern w:val="0"/>
          <w:szCs w:val="21"/>
          <w:highlight w:val="none"/>
        </w:rPr>
        <w:t>）</w:t>
      </w:r>
      <w:r>
        <w:rPr>
          <w:rFonts w:hint="eastAsia" w:ascii="宋体" w:hAnsi="宋体" w:cs="MingLiU"/>
          <w:snapToGrid w:val="0"/>
          <w:color w:val="auto"/>
          <w:kern w:val="0"/>
          <w:szCs w:val="21"/>
          <w:highlight w:val="none"/>
          <w:lang w:val="en-US" w:eastAsia="zh-CN"/>
        </w:rPr>
        <w:t>财务要求</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lang w:val="en-US" w:eastAsia="zh-CN"/>
        </w:rPr>
      </w:pPr>
      <w:r>
        <w:rPr>
          <w:rFonts w:hint="eastAsia" w:ascii="宋体" w:hAnsi="宋体" w:cs="MingLiU"/>
          <w:snapToGrid w:val="0"/>
          <w:color w:val="auto"/>
          <w:kern w:val="0"/>
          <w:szCs w:val="21"/>
          <w:highlight w:val="none"/>
          <w:lang w:val="en-US" w:eastAsia="zh-CN"/>
        </w:rPr>
        <w:t>（六）</w:t>
      </w:r>
      <w:r>
        <w:rPr>
          <w:rFonts w:hint="eastAsia" w:ascii="宋体" w:hAnsi="宋体" w:cs="MingLiU"/>
          <w:snapToGrid w:val="0"/>
          <w:color w:val="auto"/>
          <w:kern w:val="0"/>
          <w:szCs w:val="21"/>
          <w:highlight w:val="none"/>
          <w:lang w:eastAsia="zh-CN"/>
        </w:rPr>
        <w:t>项目经理资格要求</w:t>
      </w:r>
    </w:p>
    <w:p>
      <w:pPr>
        <w:autoSpaceDE w:val="0"/>
        <w:autoSpaceDN w:val="0"/>
        <w:adjustRightInd w:val="0"/>
        <w:spacing w:before="74" w:line="400" w:lineRule="exact"/>
        <w:ind w:left="120" w:right="-29" w:firstLine="420"/>
        <w:jc w:val="left"/>
        <w:rPr>
          <w:rFonts w:hint="eastAsia" w:ascii="宋体" w:hAnsi="宋体" w:cs="MingLiU" w:eastAsiaTheme="minorEastAsia"/>
          <w:snapToGrid w:val="0"/>
          <w:color w:val="auto"/>
          <w:kern w:val="0"/>
          <w:szCs w:val="21"/>
          <w:highlight w:val="none"/>
          <w:lang w:eastAsia="zh-CN"/>
        </w:rPr>
      </w:pPr>
      <w:r>
        <w:rPr>
          <w:rFonts w:hint="eastAsia" w:ascii="宋体" w:hAnsi="宋体" w:cs="MingLiU"/>
          <w:snapToGrid w:val="0"/>
          <w:color w:val="auto"/>
          <w:kern w:val="0"/>
          <w:szCs w:val="21"/>
          <w:highlight w:val="none"/>
        </w:rPr>
        <w:t>（</w:t>
      </w:r>
      <w:r>
        <w:rPr>
          <w:rFonts w:hint="eastAsia" w:ascii="宋体" w:hAnsi="宋体" w:cs="MingLiU"/>
          <w:snapToGrid w:val="0"/>
          <w:color w:val="auto"/>
          <w:kern w:val="0"/>
          <w:szCs w:val="21"/>
          <w:highlight w:val="none"/>
          <w:lang w:val="en-US" w:eastAsia="zh-CN"/>
        </w:rPr>
        <w:t>七</w:t>
      </w:r>
      <w:r>
        <w:rPr>
          <w:rFonts w:hint="eastAsia" w:ascii="宋体" w:hAnsi="宋体" w:cs="MingLiU"/>
          <w:snapToGrid w:val="0"/>
          <w:color w:val="auto"/>
          <w:kern w:val="0"/>
          <w:szCs w:val="21"/>
          <w:highlight w:val="none"/>
        </w:rPr>
        <w:t>）</w:t>
      </w:r>
      <w:r>
        <w:rPr>
          <w:rFonts w:hint="eastAsia" w:ascii="宋体" w:hAnsi="宋体" w:cs="MingLiU"/>
          <w:snapToGrid w:val="0"/>
          <w:color w:val="auto"/>
          <w:kern w:val="0"/>
          <w:szCs w:val="21"/>
          <w:highlight w:val="none"/>
          <w:lang w:eastAsia="zh-CN"/>
        </w:rPr>
        <w:t>承诺</w:t>
      </w:r>
    </w:p>
    <w:p>
      <w:pPr>
        <w:autoSpaceDE w:val="0"/>
        <w:autoSpaceDN w:val="0"/>
        <w:adjustRightInd w:val="0"/>
        <w:spacing w:before="74" w:line="400" w:lineRule="exact"/>
        <w:ind w:left="120" w:right="-29" w:firstLine="420"/>
        <w:jc w:val="left"/>
        <w:rPr>
          <w:rFonts w:hint="eastAsia" w:ascii="宋体" w:hAnsi="宋体" w:eastAsia="宋体" w:cs="MingLiU"/>
          <w:snapToGrid w:val="0"/>
          <w:color w:val="auto"/>
          <w:kern w:val="0"/>
          <w:szCs w:val="21"/>
          <w:highlight w:val="none"/>
        </w:rPr>
      </w:pPr>
      <w:r>
        <w:rPr>
          <w:rFonts w:hint="eastAsia" w:ascii="宋体" w:hAnsi="宋体" w:eastAsia="宋体" w:cs="MingLiU"/>
          <w:snapToGrid w:val="0"/>
          <w:color w:val="auto"/>
          <w:kern w:val="0"/>
          <w:szCs w:val="21"/>
          <w:highlight w:val="none"/>
          <w:lang w:eastAsia="zh-CN"/>
        </w:rPr>
        <w:t>（</w:t>
      </w:r>
      <w:r>
        <w:rPr>
          <w:rFonts w:hint="eastAsia" w:ascii="宋体" w:hAnsi="宋体" w:eastAsia="宋体" w:cs="MingLiU"/>
          <w:snapToGrid w:val="0"/>
          <w:color w:val="auto"/>
          <w:kern w:val="0"/>
          <w:szCs w:val="21"/>
          <w:highlight w:val="none"/>
          <w:lang w:val="en-US" w:eastAsia="zh-CN"/>
        </w:rPr>
        <w:t>八</w:t>
      </w:r>
      <w:r>
        <w:rPr>
          <w:rFonts w:hint="eastAsia" w:ascii="宋体" w:hAnsi="宋体" w:eastAsia="宋体" w:cs="MingLiU"/>
          <w:snapToGrid w:val="0"/>
          <w:color w:val="auto"/>
          <w:kern w:val="0"/>
          <w:szCs w:val="21"/>
          <w:highlight w:val="none"/>
          <w:lang w:eastAsia="zh-CN"/>
        </w:rPr>
        <w:t>）</w:t>
      </w:r>
      <w:r>
        <w:rPr>
          <w:rFonts w:hint="eastAsia" w:ascii="宋体" w:hAnsi="宋体" w:eastAsia="宋体" w:cs="MingLiU"/>
          <w:snapToGrid w:val="0"/>
          <w:color w:val="auto"/>
          <w:kern w:val="0"/>
          <w:szCs w:val="21"/>
          <w:highlight w:val="none"/>
        </w:rPr>
        <w:t>其他资料</w:t>
      </w:r>
    </w:p>
    <w:p>
      <w:pPr>
        <w:autoSpaceDE w:val="0"/>
        <w:autoSpaceDN w:val="0"/>
        <w:adjustRightInd w:val="0"/>
        <w:spacing w:before="74" w:line="400" w:lineRule="exact"/>
        <w:ind w:left="120" w:right="-29" w:firstLine="420"/>
        <w:jc w:val="left"/>
        <w:outlineLvl w:val="0"/>
        <w:rPr>
          <w:rFonts w:hint="eastAsia" w:ascii="宋体" w:hAnsi="宋体" w:cs="MingLiU"/>
          <w:snapToGrid w:val="0"/>
          <w:color w:val="auto"/>
          <w:kern w:val="0"/>
          <w:sz w:val="24"/>
          <w:szCs w:val="28"/>
          <w:highlight w:val="none"/>
        </w:rPr>
      </w:pPr>
      <w:r>
        <w:rPr>
          <w:rFonts w:hint="eastAsia" w:ascii="宋体" w:hAnsi="宋体" w:cs="MingLiU"/>
          <w:snapToGrid w:val="0"/>
          <w:color w:val="auto"/>
          <w:kern w:val="0"/>
          <w:sz w:val="24"/>
          <w:szCs w:val="28"/>
          <w:highlight w:val="none"/>
          <w:lang w:val="en-US" w:eastAsia="zh-CN"/>
        </w:rPr>
        <w:t>二</w:t>
      </w:r>
      <w:r>
        <w:rPr>
          <w:rFonts w:hint="eastAsia" w:ascii="宋体" w:hAnsi="宋体" w:cs="MingLiU"/>
          <w:snapToGrid w:val="0"/>
          <w:color w:val="auto"/>
          <w:kern w:val="0"/>
          <w:sz w:val="24"/>
          <w:szCs w:val="28"/>
          <w:highlight w:val="none"/>
        </w:rPr>
        <w:t>、技术部分《</w:t>
      </w:r>
      <w:r>
        <w:rPr>
          <w:rFonts w:hint="eastAsia" w:ascii="宋体" w:hAnsi="宋体" w:cs="MingLiU"/>
          <w:snapToGrid w:val="0"/>
          <w:color w:val="auto"/>
          <w:kern w:val="0"/>
          <w:sz w:val="24"/>
          <w:szCs w:val="28"/>
          <w:highlight w:val="none"/>
          <w:lang w:eastAsia="zh-CN"/>
        </w:rPr>
        <w:t>技术方案</w:t>
      </w:r>
      <w:r>
        <w:rPr>
          <w:rFonts w:hint="eastAsia" w:ascii="宋体" w:hAnsi="宋体" w:cs="MingLiU"/>
          <w:snapToGrid w:val="0"/>
          <w:color w:val="auto"/>
          <w:kern w:val="0"/>
          <w:sz w:val="24"/>
          <w:szCs w:val="28"/>
          <w:highlight w:val="none"/>
        </w:rPr>
        <w:t>》</w:t>
      </w:r>
      <w:bookmarkEnd w:id="114"/>
      <w:bookmarkEnd w:id="115"/>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p>
    <w:p>
      <w:pPr>
        <w:pStyle w:val="4"/>
        <w:spacing w:line="360" w:lineRule="auto"/>
        <w:jc w:val="center"/>
        <w:outlineLvl w:val="9"/>
        <w:rPr>
          <w:rFonts w:hint="eastAsia" w:ascii="宋体" w:hAnsi="宋体" w:cs="仿宋_GB2312"/>
          <w:b w:val="0"/>
          <w:color w:val="auto"/>
          <w:kern w:val="0"/>
          <w:sz w:val="28"/>
          <w:szCs w:val="28"/>
          <w:highlight w:val="none"/>
        </w:rPr>
      </w:pPr>
      <w:r>
        <w:rPr>
          <w:rFonts w:hint="eastAsia" w:ascii="宋体" w:hAnsi="宋体" w:cs="仿宋_GB2312"/>
          <w:b w:val="0"/>
          <w:color w:val="auto"/>
          <w:kern w:val="0"/>
          <w:sz w:val="28"/>
          <w:szCs w:val="28"/>
          <w:highlight w:val="none"/>
        </w:rPr>
        <w:br w:type="page"/>
      </w:r>
      <w:bookmarkStart w:id="116" w:name="_Toc224103494"/>
      <w:bookmarkStart w:id="117" w:name="_Toc287607866"/>
      <w:bookmarkStart w:id="118" w:name="_Toc277082642"/>
    </w:p>
    <w:p>
      <w:pPr>
        <w:pStyle w:val="4"/>
        <w:spacing w:line="360" w:lineRule="auto"/>
        <w:jc w:val="center"/>
        <w:outlineLvl w:val="0"/>
        <w:rPr>
          <w:rFonts w:hint="eastAsia" w:ascii="宋体" w:hAnsi="宋体"/>
          <w:b w:val="0"/>
          <w:bCs w:val="0"/>
          <w:color w:val="auto"/>
          <w:highlight w:val="none"/>
        </w:rPr>
      </w:pPr>
      <w:bookmarkStart w:id="119" w:name="_Toc481740266"/>
      <w:bookmarkStart w:id="120" w:name="_Toc790"/>
      <w:bookmarkStart w:id="121" w:name="_Toc460968366"/>
      <w:bookmarkStart w:id="122" w:name="_Toc17433"/>
      <w:bookmarkStart w:id="123" w:name="_Toc28817"/>
      <w:r>
        <w:rPr>
          <w:rFonts w:hint="eastAsia" w:ascii="宋体" w:hAnsi="宋体"/>
          <w:b w:val="0"/>
          <w:bCs w:val="0"/>
          <w:color w:val="auto"/>
          <w:highlight w:val="none"/>
        </w:rPr>
        <w:t>一</w:t>
      </w:r>
      <w:r>
        <w:rPr>
          <w:rFonts w:hint="eastAsia" w:ascii="宋体" w:hAnsi="宋体" w:eastAsia="宋体" w:cs="Times New Roman"/>
          <w:b w:val="0"/>
          <w:bCs w:val="0"/>
          <w:color w:val="auto"/>
          <w:highlight w:val="none"/>
        </w:rPr>
        <w:t>、投标函部分</w:t>
      </w:r>
      <w:bookmarkEnd w:id="116"/>
      <w:bookmarkEnd w:id="117"/>
      <w:bookmarkEnd w:id="118"/>
      <w:bookmarkEnd w:id="119"/>
      <w:bookmarkEnd w:id="120"/>
      <w:bookmarkEnd w:id="121"/>
      <w:r>
        <w:rPr>
          <w:rFonts w:hint="eastAsia" w:ascii="宋体" w:hAnsi="宋体" w:eastAsia="宋体" w:cs="Times New Roman"/>
          <w:b w:val="0"/>
          <w:bCs w:val="0"/>
          <w:color w:val="auto"/>
          <w:highlight w:val="none"/>
          <w:lang w:eastAsia="zh-CN"/>
        </w:rPr>
        <w:t>（</w:t>
      </w:r>
      <w:r>
        <w:rPr>
          <w:rFonts w:hint="eastAsia" w:ascii="宋体" w:hAnsi="宋体" w:eastAsia="宋体" w:cs="Times New Roman"/>
          <w:b w:val="0"/>
          <w:bCs w:val="0"/>
          <w:color w:val="auto"/>
          <w:highlight w:val="none"/>
          <w:lang w:val="en-US" w:eastAsia="zh-CN"/>
        </w:rPr>
        <w:t>含资格审查资料</w:t>
      </w:r>
      <w:r>
        <w:rPr>
          <w:rFonts w:hint="eastAsia" w:ascii="宋体" w:hAnsi="宋体" w:eastAsia="宋体" w:cs="Times New Roman"/>
          <w:b w:val="0"/>
          <w:bCs w:val="0"/>
          <w:color w:val="auto"/>
          <w:highlight w:val="none"/>
          <w:lang w:eastAsia="zh-CN"/>
        </w:rPr>
        <w:t>）</w:t>
      </w:r>
      <w:bookmarkEnd w:id="122"/>
      <w:bookmarkEnd w:id="123"/>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pStyle w:val="2"/>
        <w:rPr>
          <w:rFonts w:hint="eastAsia" w:ascii="宋体" w:hAnsi="宋体" w:cs="仿宋_GB2312"/>
          <w:snapToGrid w:val="0"/>
          <w:color w:val="auto"/>
          <w:kern w:val="0"/>
          <w:szCs w:val="21"/>
          <w:highlight w:val="none"/>
        </w:rPr>
      </w:pPr>
    </w:p>
    <w:p>
      <w:pPr>
        <w:rPr>
          <w:rFonts w:hint="eastAsia" w:ascii="宋体" w:hAnsi="宋体" w:cs="仿宋_GB2312"/>
          <w:snapToGrid w:val="0"/>
          <w:color w:val="auto"/>
          <w:kern w:val="0"/>
          <w:szCs w:val="21"/>
          <w:highlight w:val="none"/>
        </w:rPr>
      </w:pPr>
    </w:p>
    <w:p>
      <w:pPr>
        <w:pStyle w:val="2"/>
        <w:rPr>
          <w:rFonts w:hint="eastAsia"/>
          <w:color w:val="auto"/>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pStyle w:val="2"/>
        <w:rPr>
          <w:rFonts w:hint="eastAsia"/>
          <w:color w:val="auto"/>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pStyle w:val="2"/>
        <w:rPr>
          <w:rFonts w:hint="eastAsia"/>
          <w:color w:val="auto"/>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jc w:val="left"/>
        <w:rPr>
          <w:rFonts w:hint="eastAsia" w:ascii="宋体" w:hAnsi="宋体" w:cs="仿宋_GB2312"/>
          <w:snapToGrid w:val="0"/>
          <w:color w:val="auto"/>
          <w:kern w:val="0"/>
          <w:szCs w:val="21"/>
          <w:highlight w:val="non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仿宋_GB2312"/>
          <w:snapToGrid w:val="0"/>
          <w:color w:val="auto"/>
          <w:kern w:val="0"/>
          <w:szCs w:val="21"/>
          <w:highlight w:val="none"/>
        </w:rPr>
      </w:pPr>
    </w:p>
    <w:p>
      <w:pPr>
        <w:tabs>
          <w:tab w:val="left" w:pos="5420"/>
          <w:tab w:val="left" w:pos="5940"/>
        </w:tabs>
        <w:autoSpaceDE w:val="0"/>
        <w:autoSpaceDN w:val="0"/>
        <w:adjustRightInd w:val="0"/>
        <w:snapToGrid w:val="0"/>
        <w:spacing w:line="360" w:lineRule="auto"/>
        <w:jc w:val="center"/>
        <w:outlineLvl w:val="0"/>
        <w:rPr>
          <w:rFonts w:hint="eastAsia" w:ascii="宋体" w:hAnsi="宋体" w:cs="仿宋_GB2312"/>
          <w:color w:val="auto"/>
          <w:kern w:val="0"/>
          <w:sz w:val="32"/>
          <w:szCs w:val="32"/>
          <w:highlight w:val="none"/>
        </w:rPr>
      </w:pPr>
      <w:r>
        <w:rPr>
          <w:rFonts w:hint="eastAsia" w:ascii="宋体" w:hAnsi="宋体" w:cs="仿宋_GB2312"/>
          <w:bCs/>
          <w:color w:val="auto"/>
          <w:kern w:val="0"/>
          <w:sz w:val="32"/>
          <w:szCs w:val="32"/>
          <w:highlight w:val="none"/>
          <w:u w:val="single"/>
          <w:lang w:val="zh-CN"/>
        </w:rPr>
        <w:t xml:space="preserve">                                  </w:t>
      </w:r>
      <w:bookmarkStart w:id="124" w:name="_Toc32490"/>
      <w:bookmarkStart w:id="125" w:name="_Toc18124"/>
      <w:r>
        <w:rPr>
          <w:rFonts w:hint="eastAsia" w:ascii="宋体" w:hAnsi="宋体" w:cs="仿宋_GB2312"/>
          <w:bCs/>
          <w:color w:val="auto"/>
          <w:kern w:val="0"/>
          <w:sz w:val="32"/>
          <w:szCs w:val="32"/>
          <w:highlight w:val="none"/>
          <w:lang w:val="zh-CN"/>
        </w:rPr>
        <w:t>（项目名称）</w:t>
      </w:r>
      <w:bookmarkEnd w:id="124"/>
      <w:bookmarkEnd w:id="125"/>
    </w:p>
    <w:p>
      <w:pPr>
        <w:tabs>
          <w:tab w:val="left" w:pos="3600"/>
          <w:tab w:val="left" w:pos="4480"/>
          <w:tab w:val="left" w:pos="5360"/>
        </w:tabs>
        <w:autoSpaceDE w:val="0"/>
        <w:autoSpaceDN w:val="0"/>
        <w:adjustRightInd w:val="0"/>
        <w:snapToGrid w:val="0"/>
        <w:spacing w:line="360" w:lineRule="auto"/>
        <w:jc w:val="left"/>
        <w:rPr>
          <w:rFonts w:hint="eastAsia" w:ascii="宋体" w:hAnsi="宋体" w:cs="仿宋_GB2312"/>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仿宋_GB2312"/>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仿宋_GB2312"/>
          <w:color w:val="auto"/>
          <w:kern w:val="0"/>
          <w:sz w:val="44"/>
          <w:szCs w:val="44"/>
          <w:highlight w:val="none"/>
        </w:rPr>
      </w:pPr>
    </w:p>
    <w:p>
      <w:pPr>
        <w:pStyle w:val="2"/>
        <w:rPr>
          <w:rFonts w:hint="eastAsia"/>
          <w:color w:val="auto"/>
          <w:highlight w:val="none"/>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仿宋_GB2312"/>
          <w:color w:val="auto"/>
          <w:kern w:val="0"/>
          <w:sz w:val="84"/>
          <w:szCs w:val="84"/>
          <w:highlight w:val="none"/>
        </w:rPr>
      </w:pPr>
      <w:r>
        <w:rPr>
          <w:rFonts w:hint="eastAsia" w:ascii="宋体" w:hAnsi="宋体" w:cs="仿宋_GB2312"/>
          <w:color w:val="auto"/>
          <w:kern w:val="0"/>
          <w:sz w:val="84"/>
          <w:szCs w:val="84"/>
          <w:highlight w:val="none"/>
        </w:rPr>
        <w:t>投  标  文  件</w:t>
      </w:r>
    </w:p>
    <w:p>
      <w:pPr>
        <w:autoSpaceDE w:val="0"/>
        <w:autoSpaceDN w:val="0"/>
        <w:adjustRightInd w:val="0"/>
        <w:snapToGrid w:val="0"/>
        <w:spacing w:line="360" w:lineRule="auto"/>
        <w:jc w:val="left"/>
        <w:rPr>
          <w:rFonts w:hint="eastAsia" w:ascii="宋体" w:hAnsi="宋体" w:cs="仿宋_GB2312"/>
          <w:color w:val="auto"/>
          <w:kern w:val="0"/>
          <w:sz w:val="16"/>
          <w:szCs w:val="16"/>
          <w:highlight w:val="none"/>
        </w:rPr>
      </w:pPr>
    </w:p>
    <w:p>
      <w:pPr>
        <w:autoSpaceDE w:val="0"/>
        <w:autoSpaceDN w:val="0"/>
        <w:adjustRightInd w:val="0"/>
        <w:snapToGrid w:val="0"/>
        <w:spacing w:line="360" w:lineRule="auto"/>
        <w:jc w:val="center"/>
        <w:rPr>
          <w:rFonts w:hint="eastAsia" w:ascii="宋体" w:hAnsi="宋体" w:cs="仿宋_GB2312"/>
          <w:color w:val="auto"/>
          <w:kern w:val="0"/>
          <w:sz w:val="36"/>
          <w:szCs w:val="36"/>
          <w:highlight w:val="none"/>
        </w:rPr>
      </w:pPr>
      <w:r>
        <w:rPr>
          <w:rFonts w:hint="eastAsia" w:ascii="宋体" w:hAnsi="宋体" w:cs="仿宋_GB2312"/>
          <w:color w:val="auto"/>
          <w:kern w:val="0"/>
          <w:sz w:val="36"/>
          <w:szCs w:val="36"/>
          <w:highlight w:val="none"/>
        </w:rPr>
        <w:t>投标</w:t>
      </w:r>
      <w:r>
        <w:rPr>
          <w:rFonts w:hint="eastAsia" w:ascii="宋体" w:hAnsi="宋体" w:eastAsia="宋体" w:cs="仿宋_GB2312"/>
          <w:color w:val="auto"/>
          <w:kern w:val="0"/>
          <w:sz w:val="36"/>
          <w:szCs w:val="36"/>
          <w:highlight w:val="none"/>
        </w:rPr>
        <w:t>函部分</w:t>
      </w:r>
      <w:r>
        <w:rPr>
          <w:rFonts w:hint="eastAsia" w:ascii="宋体" w:hAnsi="宋体" w:eastAsia="宋体" w:cs="仿宋_GB2312"/>
          <w:color w:val="auto"/>
          <w:kern w:val="0"/>
          <w:sz w:val="36"/>
          <w:szCs w:val="36"/>
          <w:highlight w:val="none"/>
          <w:lang w:eastAsia="zh-CN"/>
        </w:rPr>
        <w:t>（</w:t>
      </w:r>
      <w:r>
        <w:rPr>
          <w:rFonts w:hint="eastAsia" w:ascii="宋体" w:hAnsi="宋体" w:eastAsia="宋体" w:cs="仿宋_GB2312"/>
          <w:color w:val="auto"/>
          <w:kern w:val="0"/>
          <w:sz w:val="36"/>
          <w:szCs w:val="36"/>
          <w:highlight w:val="none"/>
          <w:lang w:val="en-US" w:eastAsia="zh-CN"/>
        </w:rPr>
        <w:t>含资格审查资料</w:t>
      </w:r>
      <w:r>
        <w:rPr>
          <w:rFonts w:hint="eastAsia" w:ascii="宋体" w:hAnsi="宋体" w:eastAsia="宋体" w:cs="仿宋_GB2312"/>
          <w:color w:val="auto"/>
          <w:kern w:val="0"/>
          <w:sz w:val="36"/>
          <w:szCs w:val="36"/>
          <w:highlight w:val="none"/>
          <w:lang w:eastAsia="zh-CN"/>
        </w:rPr>
        <w:t>）</w:t>
      </w: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tabs>
          <w:tab w:val="left" w:pos="6080"/>
          <w:tab w:val="left" w:pos="6640"/>
        </w:tabs>
        <w:autoSpaceDE w:val="0"/>
        <w:autoSpaceDN w:val="0"/>
        <w:adjustRightInd w:val="0"/>
        <w:snapToGrid w:val="0"/>
        <w:spacing w:line="360" w:lineRule="auto"/>
        <w:jc w:val="center"/>
        <w:rPr>
          <w:rFonts w:hint="eastAsia" w:ascii="宋体" w:hAnsi="宋体" w:cs="仿宋_GB2312"/>
          <w:color w:val="auto"/>
          <w:w w:val="99"/>
          <w:kern w:val="0"/>
          <w:sz w:val="28"/>
          <w:szCs w:val="28"/>
          <w:highlight w:val="none"/>
        </w:rPr>
      </w:pPr>
      <w:r>
        <w:rPr>
          <w:rFonts w:hint="eastAsia" w:ascii="宋体" w:hAnsi="宋体" w:cs="仿宋_GB2312"/>
          <w:color w:val="auto"/>
          <w:w w:val="99"/>
          <w:kern w:val="0"/>
          <w:sz w:val="28"/>
          <w:szCs w:val="28"/>
          <w:highlight w:val="none"/>
        </w:rPr>
        <w:t>投标人</w:t>
      </w:r>
      <w:r>
        <w:rPr>
          <w:rFonts w:hint="eastAsia" w:ascii="宋体" w:hAnsi="宋体" w:cs="仿宋_GB2312"/>
          <w:color w:val="auto"/>
          <w:spacing w:val="1"/>
          <w:w w:val="99"/>
          <w:kern w:val="0"/>
          <w:sz w:val="28"/>
          <w:szCs w:val="28"/>
          <w:highlight w:val="none"/>
        </w:rPr>
        <w:t>：</w:t>
      </w:r>
      <w:r>
        <w:rPr>
          <w:rFonts w:hint="eastAsia" w:ascii="宋体" w:hAnsi="宋体" w:cs="仿宋_GB2312"/>
          <w:color w:val="auto"/>
          <w:w w:val="198"/>
          <w:kern w:val="0"/>
          <w:sz w:val="28"/>
          <w:szCs w:val="28"/>
          <w:highlight w:val="none"/>
          <w:u w:val="single"/>
        </w:rPr>
        <w:t xml:space="preserve"> 　　　　 　　</w:t>
      </w:r>
      <w:r>
        <w:rPr>
          <w:rFonts w:hint="eastAsia" w:ascii="宋体" w:hAnsi="宋体" w:cs="仿宋_GB2312"/>
          <w:color w:val="auto"/>
          <w:w w:val="99"/>
          <w:kern w:val="0"/>
          <w:sz w:val="28"/>
          <w:szCs w:val="28"/>
          <w:highlight w:val="none"/>
        </w:rPr>
        <w:t>（盖单位章）</w:t>
      </w:r>
    </w:p>
    <w:p>
      <w:pPr>
        <w:tabs>
          <w:tab w:val="left" w:pos="6080"/>
          <w:tab w:val="left" w:pos="6640"/>
        </w:tabs>
        <w:autoSpaceDE w:val="0"/>
        <w:autoSpaceDN w:val="0"/>
        <w:adjustRightInd w:val="0"/>
        <w:snapToGrid w:val="0"/>
        <w:spacing w:line="360" w:lineRule="auto"/>
        <w:jc w:val="center"/>
        <w:rPr>
          <w:rFonts w:hint="eastAsia" w:ascii="宋体" w:hAnsi="宋体" w:cs="仿宋_GB2312"/>
          <w:color w:val="auto"/>
          <w:kern w:val="0"/>
          <w:sz w:val="28"/>
          <w:szCs w:val="28"/>
          <w:highlight w:val="none"/>
        </w:rPr>
      </w:pPr>
      <w:r>
        <w:rPr>
          <w:rFonts w:hint="eastAsia" w:ascii="宋体" w:hAnsi="宋体" w:cs="仿宋_GB2312"/>
          <w:color w:val="auto"/>
          <w:w w:val="99"/>
          <w:kern w:val="0"/>
          <w:sz w:val="28"/>
          <w:szCs w:val="28"/>
          <w:highlight w:val="none"/>
        </w:rPr>
        <w:t>法定代表人或其委托代理人：</w:t>
      </w:r>
      <w:r>
        <w:rPr>
          <w:rFonts w:hint="eastAsia" w:ascii="宋体" w:hAnsi="宋体" w:cs="仿宋_GB2312"/>
          <w:color w:val="auto"/>
          <w:w w:val="198"/>
          <w:kern w:val="0"/>
          <w:sz w:val="28"/>
          <w:szCs w:val="28"/>
          <w:highlight w:val="none"/>
          <w:u w:val="single"/>
        </w:rPr>
        <w:t xml:space="preserve"> 　　 　</w:t>
      </w:r>
      <w:r>
        <w:rPr>
          <w:rFonts w:hint="eastAsia" w:ascii="宋体" w:hAnsi="宋体" w:cs="仿宋_GB2312"/>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auto"/>
        <w:jc w:val="center"/>
        <w:rPr>
          <w:rFonts w:hint="eastAsia" w:ascii="宋体" w:hAnsi="宋体" w:cs="仿宋_GB2312"/>
          <w:color w:val="auto"/>
          <w:kern w:val="0"/>
          <w:sz w:val="28"/>
          <w:szCs w:val="28"/>
          <w:highlight w:val="none"/>
        </w:rPr>
      </w:pPr>
      <w:r>
        <w:rPr>
          <w:rFonts w:hint="eastAsia" w:ascii="宋体" w:hAnsi="宋体" w:cs="仿宋_GB2312"/>
          <w:color w:val="auto"/>
          <w:w w:val="99"/>
          <w:kern w:val="0"/>
          <w:sz w:val="28"/>
          <w:szCs w:val="28"/>
          <w:highlight w:val="none"/>
          <w:u w:val="single"/>
        </w:rPr>
        <w:t xml:space="preserve">     　</w:t>
      </w:r>
      <w:r>
        <w:rPr>
          <w:rFonts w:hint="eastAsia" w:ascii="宋体" w:hAnsi="宋体" w:cs="仿宋_GB2312"/>
          <w:color w:val="auto"/>
          <w:w w:val="99"/>
          <w:kern w:val="0"/>
          <w:sz w:val="28"/>
          <w:szCs w:val="28"/>
          <w:highlight w:val="none"/>
        </w:rPr>
        <w:t>年</w:t>
      </w:r>
      <w:r>
        <w:rPr>
          <w:rFonts w:hint="eastAsia" w:ascii="宋体" w:hAnsi="宋体" w:cs="仿宋_GB2312"/>
          <w:color w:val="auto"/>
          <w:w w:val="198"/>
          <w:kern w:val="0"/>
          <w:sz w:val="28"/>
          <w:szCs w:val="28"/>
          <w:highlight w:val="none"/>
          <w:u w:val="single"/>
        </w:rPr>
        <w:t xml:space="preserve">  </w:t>
      </w:r>
      <w:r>
        <w:rPr>
          <w:rFonts w:hint="eastAsia" w:ascii="宋体" w:hAnsi="宋体" w:cs="仿宋_GB2312"/>
          <w:color w:val="auto"/>
          <w:w w:val="99"/>
          <w:kern w:val="0"/>
          <w:sz w:val="28"/>
          <w:szCs w:val="28"/>
          <w:highlight w:val="none"/>
        </w:rPr>
        <w:t>月</w:t>
      </w:r>
      <w:r>
        <w:rPr>
          <w:rFonts w:hint="eastAsia" w:ascii="宋体" w:hAnsi="宋体" w:cs="仿宋_GB2312"/>
          <w:color w:val="auto"/>
          <w:w w:val="198"/>
          <w:kern w:val="0"/>
          <w:sz w:val="28"/>
          <w:szCs w:val="28"/>
          <w:highlight w:val="none"/>
          <w:u w:val="single"/>
        </w:rPr>
        <w:t xml:space="preserve">  </w:t>
      </w:r>
      <w:r>
        <w:rPr>
          <w:rFonts w:hint="eastAsia" w:ascii="宋体" w:hAnsi="宋体" w:cs="仿宋_GB2312"/>
          <w:color w:val="auto"/>
          <w:w w:val="99"/>
          <w:kern w:val="0"/>
          <w:sz w:val="28"/>
          <w:szCs w:val="28"/>
          <w:highlight w:val="none"/>
        </w:rPr>
        <w:t>日</w:t>
      </w:r>
    </w:p>
    <w:p>
      <w:pPr>
        <w:autoSpaceDE w:val="0"/>
        <w:autoSpaceDN w:val="0"/>
        <w:adjustRightInd w:val="0"/>
        <w:snapToGrid w:val="0"/>
        <w:spacing w:line="360" w:lineRule="auto"/>
        <w:jc w:val="left"/>
        <w:rPr>
          <w:rFonts w:hint="eastAsia" w:ascii="宋体" w:hAnsi="宋体" w:cs="仿宋_GB2312"/>
          <w:color w:val="auto"/>
          <w:kern w:val="0"/>
          <w:sz w:val="24"/>
          <w:szCs w:val="21"/>
          <w:highlight w:val="none"/>
        </w:rPr>
      </w:pPr>
      <w:r>
        <w:rPr>
          <w:rFonts w:hint="eastAsia" w:ascii="宋体" w:hAnsi="宋体" w:cs="仿宋_GB2312"/>
          <w:color w:val="auto"/>
          <w:kern w:val="0"/>
          <w:sz w:val="24"/>
          <w:szCs w:val="21"/>
          <w:highlight w:val="none"/>
        </w:rPr>
        <w:br w:type="page"/>
      </w:r>
    </w:p>
    <w:p>
      <w:pPr>
        <w:autoSpaceDE w:val="0"/>
        <w:autoSpaceDN w:val="0"/>
        <w:adjustRightInd w:val="0"/>
        <w:snapToGrid w:val="0"/>
        <w:spacing w:line="360" w:lineRule="auto"/>
        <w:jc w:val="center"/>
        <w:outlineLvl w:val="0"/>
        <w:rPr>
          <w:rFonts w:hint="eastAsia" w:ascii="宋体" w:hAnsi="宋体" w:cs="仿宋_GB2312"/>
          <w:color w:val="auto"/>
          <w:kern w:val="0"/>
          <w:sz w:val="32"/>
          <w:szCs w:val="32"/>
          <w:highlight w:val="none"/>
        </w:rPr>
      </w:pPr>
      <w:bookmarkStart w:id="126" w:name="_Toc2802"/>
      <w:bookmarkStart w:id="127" w:name="_Toc8913"/>
      <w:r>
        <w:rPr>
          <w:rFonts w:hint="eastAsia" w:ascii="宋体" w:hAnsi="宋体" w:cs="仿宋_GB2312"/>
          <w:color w:val="auto"/>
          <w:kern w:val="0"/>
          <w:sz w:val="32"/>
          <w:szCs w:val="32"/>
          <w:highlight w:val="none"/>
        </w:rPr>
        <w:t>目     录</w:t>
      </w:r>
      <w:bookmarkEnd w:id="126"/>
      <w:bookmarkEnd w:id="127"/>
    </w:p>
    <w:p>
      <w:pPr>
        <w:autoSpaceDE w:val="0"/>
        <w:autoSpaceDN w:val="0"/>
        <w:adjustRightInd w:val="0"/>
        <w:snapToGrid w:val="0"/>
        <w:spacing w:line="360" w:lineRule="auto"/>
        <w:jc w:val="left"/>
        <w:rPr>
          <w:rFonts w:hint="eastAsia" w:ascii="宋体" w:hAnsi="宋体" w:cs="仿宋_GB2312"/>
          <w:color w:val="auto"/>
          <w:kern w:val="0"/>
          <w:sz w:val="24"/>
          <w:szCs w:val="21"/>
          <w:highlight w:val="none"/>
        </w:rPr>
      </w:pP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（一）投标函</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（二）法定代表人身份证明及授权委托书</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（三）投标人基本情况表</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（四）</w:t>
      </w:r>
      <w:r>
        <w:rPr>
          <w:rFonts w:hint="eastAsia" w:ascii="宋体" w:hAnsi="宋体" w:cs="MingLiU"/>
          <w:snapToGrid w:val="0"/>
          <w:color w:val="auto"/>
          <w:kern w:val="0"/>
          <w:szCs w:val="21"/>
          <w:highlight w:val="none"/>
          <w:lang w:val="en-US" w:eastAsia="zh-CN"/>
        </w:rPr>
        <w:t>业绩要求</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lang w:val="en-US" w:eastAsia="zh-CN"/>
        </w:rPr>
      </w:pPr>
      <w:r>
        <w:rPr>
          <w:rFonts w:hint="eastAsia" w:ascii="宋体" w:hAnsi="宋体" w:cs="MingLiU"/>
          <w:snapToGrid w:val="0"/>
          <w:color w:val="auto"/>
          <w:kern w:val="0"/>
          <w:szCs w:val="21"/>
          <w:highlight w:val="none"/>
        </w:rPr>
        <w:t>（</w:t>
      </w:r>
      <w:r>
        <w:rPr>
          <w:rFonts w:hint="eastAsia" w:ascii="宋体" w:hAnsi="宋体" w:cs="MingLiU"/>
          <w:snapToGrid w:val="0"/>
          <w:color w:val="auto"/>
          <w:kern w:val="0"/>
          <w:szCs w:val="21"/>
          <w:highlight w:val="none"/>
          <w:lang w:val="en-US" w:eastAsia="zh-CN"/>
        </w:rPr>
        <w:t>五</w:t>
      </w:r>
      <w:r>
        <w:rPr>
          <w:rFonts w:hint="eastAsia" w:ascii="宋体" w:hAnsi="宋体" w:cs="MingLiU"/>
          <w:snapToGrid w:val="0"/>
          <w:color w:val="auto"/>
          <w:kern w:val="0"/>
          <w:szCs w:val="21"/>
          <w:highlight w:val="none"/>
        </w:rPr>
        <w:t>）</w:t>
      </w:r>
      <w:r>
        <w:rPr>
          <w:rFonts w:hint="eastAsia" w:ascii="宋体" w:hAnsi="宋体" w:cs="MingLiU"/>
          <w:snapToGrid w:val="0"/>
          <w:color w:val="auto"/>
          <w:kern w:val="0"/>
          <w:szCs w:val="21"/>
          <w:highlight w:val="none"/>
          <w:lang w:val="en-US" w:eastAsia="zh-CN"/>
        </w:rPr>
        <w:t>财务要求</w:t>
      </w:r>
    </w:p>
    <w:p>
      <w:pPr>
        <w:autoSpaceDE w:val="0"/>
        <w:autoSpaceDN w:val="0"/>
        <w:adjustRightInd w:val="0"/>
        <w:spacing w:before="74" w:line="400" w:lineRule="exact"/>
        <w:ind w:left="120" w:right="-29" w:firstLine="420"/>
        <w:jc w:val="left"/>
        <w:rPr>
          <w:rFonts w:hint="eastAsia" w:ascii="宋体" w:hAnsi="宋体" w:cs="MingLiU"/>
          <w:snapToGrid w:val="0"/>
          <w:color w:val="auto"/>
          <w:kern w:val="0"/>
          <w:szCs w:val="21"/>
          <w:highlight w:val="none"/>
          <w:lang w:val="en-US" w:eastAsia="zh-CN"/>
        </w:rPr>
      </w:pPr>
      <w:r>
        <w:rPr>
          <w:rFonts w:hint="eastAsia" w:ascii="宋体" w:hAnsi="宋体" w:cs="MingLiU"/>
          <w:snapToGrid w:val="0"/>
          <w:color w:val="auto"/>
          <w:kern w:val="0"/>
          <w:szCs w:val="21"/>
          <w:highlight w:val="none"/>
          <w:lang w:val="en-US" w:eastAsia="zh-CN"/>
        </w:rPr>
        <w:t>（六）</w:t>
      </w:r>
      <w:r>
        <w:rPr>
          <w:rFonts w:hint="eastAsia" w:ascii="宋体" w:hAnsi="宋体" w:cs="MingLiU"/>
          <w:snapToGrid w:val="0"/>
          <w:color w:val="auto"/>
          <w:kern w:val="0"/>
          <w:szCs w:val="21"/>
          <w:highlight w:val="none"/>
          <w:lang w:eastAsia="zh-CN"/>
        </w:rPr>
        <w:t>项目经理资格要求</w:t>
      </w:r>
    </w:p>
    <w:p>
      <w:pPr>
        <w:autoSpaceDE w:val="0"/>
        <w:autoSpaceDN w:val="0"/>
        <w:adjustRightInd w:val="0"/>
        <w:spacing w:before="74" w:line="400" w:lineRule="exact"/>
        <w:ind w:left="120" w:right="-29" w:firstLine="420"/>
        <w:jc w:val="left"/>
        <w:rPr>
          <w:rFonts w:hint="eastAsia" w:ascii="宋体" w:hAnsi="宋体" w:cs="MingLiU" w:eastAsiaTheme="minorEastAsia"/>
          <w:snapToGrid w:val="0"/>
          <w:color w:val="auto"/>
          <w:kern w:val="0"/>
          <w:szCs w:val="21"/>
          <w:highlight w:val="none"/>
          <w:lang w:eastAsia="zh-CN"/>
        </w:rPr>
      </w:pPr>
      <w:r>
        <w:rPr>
          <w:rFonts w:hint="eastAsia" w:ascii="宋体" w:hAnsi="宋体" w:cs="MingLiU"/>
          <w:snapToGrid w:val="0"/>
          <w:color w:val="auto"/>
          <w:kern w:val="0"/>
          <w:szCs w:val="21"/>
          <w:highlight w:val="none"/>
        </w:rPr>
        <w:t>（</w:t>
      </w:r>
      <w:r>
        <w:rPr>
          <w:rFonts w:hint="eastAsia" w:ascii="宋体" w:hAnsi="宋体" w:cs="MingLiU"/>
          <w:snapToGrid w:val="0"/>
          <w:color w:val="auto"/>
          <w:kern w:val="0"/>
          <w:szCs w:val="21"/>
          <w:highlight w:val="none"/>
          <w:lang w:val="en-US" w:eastAsia="zh-CN"/>
        </w:rPr>
        <w:t>七</w:t>
      </w:r>
      <w:r>
        <w:rPr>
          <w:rFonts w:hint="eastAsia" w:ascii="宋体" w:hAnsi="宋体" w:cs="MingLiU"/>
          <w:snapToGrid w:val="0"/>
          <w:color w:val="auto"/>
          <w:kern w:val="0"/>
          <w:szCs w:val="21"/>
          <w:highlight w:val="none"/>
        </w:rPr>
        <w:t>）</w:t>
      </w:r>
      <w:r>
        <w:rPr>
          <w:rFonts w:hint="eastAsia" w:ascii="宋体" w:hAnsi="宋体" w:cs="MingLiU"/>
          <w:snapToGrid w:val="0"/>
          <w:color w:val="auto"/>
          <w:kern w:val="0"/>
          <w:szCs w:val="21"/>
          <w:highlight w:val="none"/>
          <w:lang w:eastAsia="zh-CN"/>
        </w:rPr>
        <w:t>承诺</w:t>
      </w:r>
    </w:p>
    <w:p>
      <w:pPr>
        <w:autoSpaceDE w:val="0"/>
        <w:autoSpaceDN w:val="0"/>
        <w:adjustRightInd w:val="0"/>
        <w:spacing w:before="74" w:line="400" w:lineRule="exact"/>
        <w:ind w:left="120" w:right="-29" w:firstLine="420"/>
        <w:jc w:val="left"/>
        <w:rPr>
          <w:rFonts w:hint="eastAsia" w:ascii="宋体" w:hAnsi="宋体" w:eastAsia="宋体" w:cs="MingLiU"/>
          <w:snapToGrid w:val="0"/>
          <w:color w:val="auto"/>
          <w:kern w:val="0"/>
          <w:szCs w:val="21"/>
          <w:highlight w:val="none"/>
        </w:rPr>
      </w:pPr>
      <w:r>
        <w:rPr>
          <w:rFonts w:hint="eastAsia" w:ascii="宋体" w:hAnsi="宋体" w:eastAsia="宋体" w:cs="MingLiU"/>
          <w:snapToGrid w:val="0"/>
          <w:color w:val="auto"/>
          <w:kern w:val="0"/>
          <w:szCs w:val="21"/>
          <w:highlight w:val="none"/>
          <w:lang w:eastAsia="zh-CN"/>
        </w:rPr>
        <w:t>（</w:t>
      </w:r>
      <w:r>
        <w:rPr>
          <w:rFonts w:hint="eastAsia" w:ascii="宋体" w:hAnsi="宋体" w:eastAsia="宋体" w:cs="MingLiU"/>
          <w:snapToGrid w:val="0"/>
          <w:color w:val="auto"/>
          <w:kern w:val="0"/>
          <w:szCs w:val="21"/>
          <w:highlight w:val="none"/>
          <w:lang w:val="en-US" w:eastAsia="zh-CN"/>
        </w:rPr>
        <w:t>八</w:t>
      </w:r>
      <w:r>
        <w:rPr>
          <w:rFonts w:hint="eastAsia" w:ascii="宋体" w:hAnsi="宋体" w:eastAsia="宋体" w:cs="MingLiU"/>
          <w:snapToGrid w:val="0"/>
          <w:color w:val="auto"/>
          <w:kern w:val="0"/>
          <w:szCs w:val="21"/>
          <w:highlight w:val="none"/>
          <w:lang w:eastAsia="zh-CN"/>
        </w:rPr>
        <w:t>）</w:t>
      </w:r>
      <w:r>
        <w:rPr>
          <w:rFonts w:hint="eastAsia" w:ascii="宋体" w:hAnsi="宋体" w:eastAsia="宋体" w:cs="MingLiU"/>
          <w:snapToGrid w:val="0"/>
          <w:color w:val="auto"/>
          <w:kern w:val="0"/>
          <w:szCs w:val="21"/>
          <w:highlight w:val="none"/>
        </w:rPr>
        <w:t>其他资料</w:t>
      </w:r>
    </w:p>
    <w:p>
      <w:pPr>
        <w:autoSpaceDE w:val="0"/>
        <w:autoSpaceDN w:val="0"/>
        <w:adjustRightInd w:val="0"/>
        <w:snapToGrid w:val="0"/>
        <w:spacing w:line="360" w:lineRule="auto"/>
        <w:jc w:val="left"/>
        <w:rPr>
          <w:rFonts w:hint="eastAsia" w:ascii="宋体" w:hAnsi="宋体" w:cs="仿宋_GB2312"/>
          <w:color w:val="auto"/>
          <w:kern w:val="0"/>
          <w:sz w:val="24"/>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w w:val="99"/>
          <w:kern w:val="0"/>
          <w:sz w:val="28"/>
          <w:szCs w:val="28"/>
          <w:highlight w:val="none"/>
        </w:rPr>
      </w:pPr>
    </w:p>
    <w:p>
      <w:pPr>
        <w:autoSpaceDE w:val="0"/>
        <w:autoSpaceDN w:val="0"/>
        <w:adjustRightInd w:val="0"/>
        <w:snapToGrid w:val="0"/>
        <w:spacing w:line="360" w:lineRule="auto"/>
        <w:jc w:val="left"/>
        <w:rPr>
          <w:rFonts w:hint="eastAsia" w:ascii="宋体" w:hAnsi="宋体" w:cs="仿宋_GB2312"/>
          <w:color w:val="auto"/>
          <w:w w:val="99"/>
          <w:kern w:val="0"/>
          <w:sz w:val="28"/>
          <w:szCs w:val="28"/>
          <w:highlight w:val="none"/>
        </w:rPr>
      </w:pPr>
    </w:p>
    <w:p>
      <w:pPr>
        <w:autoSpaceDE w:val="0"/>
        <w:autoSpaceDN w:val="0"/>
        <w:adjustRightInd w:val="0"/>
        <w:snapToGrid w:val="0"/>
        <w:spacing w:line="360" w:lineRule="auto"/>
        <w:jc w:val="left"/>
        <w:rPr>
          <w:rFonts w:hint="eastAsia" w:ascii="宋体" w:hAnsi="宋体" w:cs="仿宋_GB2312"/>
          <w:color w:val="auto"/>
          <w:w w:val="99"/>
          <w:kern w:val="0"/>
          <w:sz w:val="28"/>
          <w:szCs w:val="28"/>
          <w:highlight w:val="none"/>
        </w:rPr>
      </w:pPr>
    </w:p>
    <w:p>
      <w:pPr>
        <w:autoSpaceDE w:val="0"/>
        <w:autoSpaceDN w:val="0"/>
        <w:adjustRightInd w:val="0"/>
        <w:snapToGrid w:val="0"/>
        <w:spacing w:line="360" w:lineRule="auto"/>
        <w:jc w:val="left"/>
        <w:rPr>
          <w:rFonts w:hint="eastAsia" w:ascii="宋体" w:hAnsi="宋体" w:cs="仿宋_GB2312"/>
          <w:color w:val="auto"/>
          <w:w w:val="99"/>
          <w:kern w:val="0"/>
          <w:sz w:val="28"/>
          <w:szCs w:val="28"/>
          <w:highlight w:val="none"/>
        </w:rPr>
      </w:pPr>
    </w:p>
    <w:p>
      <w:pPr>
        <w:pStyle w:val="5"/>
        <w:spacing w:line="360" w:lineRule="auto"/>
        <w:jc w:val="center"/>
        <w:outlineLvl w:val="0"/>
        <w:rPr>
          <w:rFonts w:hint="eastAsia" w:ascii="宋体" w:hAnsi="宋体" w:cs="仿宋_GB2312"/>
          <w:b w:val="0"/>
          <w:color w:val="auto"/>
          <w:sz w:val="28"/>
          <w:highlight w:val="none"/>
        </w:rPr>
      </w:pPr>
      <w:r>
        <w:rPr>
          <w:rFonts w:hint="eastAsia" w:ascii="宋体" w:hAnsi="宋体" w:cs="仿宋_GB2312"/>
          <w:b w:val="0"/>
          <w:color w:val="auto"/>
          <w:highlight w:val="none"/>
        </w:rPr>
        <w:br w:type="page"/>
      </w:r>
      <w:bookmarkStart w:id="128" w:name="_Toc287607867"/>
      <w:bookmarkStart w:id="129" w:name="_Toc224103495"/>
      <w:bookmarkStart w:id="130" w:name="_Toc460968367"/>
      <w:bookmarkStart w:id="131" w:name="_Toc461010230"/>
      <w:bookmarkStart w:id="132" w:name="_Toc481740267"/>
      <w:bookmarkStart w:id="133" w:name="_Toc461110796"/>
      <w:bookmarkStart w:id="134" w:name="_Toc2227"/>
      <w:bookmarkStart w:id="135" w:name="_Toc27385"/>
      <w:bookmarkStart w:id="136" w:name="_Toc277082643"/>
      <w:bookmarkStart w:id="137" w:name="_Toc7598"/>
      <w:r>
        <w:rPr>
          <w:rFonts w:hint="eastAsia" w:ascii="宋体" w:hAnsi="宋体" w:eastAsia="宋体" w:cs="宋体"/>
          <w:b w:val="0"/>
          <w:color w:val="auto"/>
          <w:sz w:val="28"/>
          <w:highlight w:val="none"/>
        </w:rPr>
        <w:t>（一） 投标函</w:t>
      </w:r>
      <w:bookmarkEnd w:id="128"/>
      <w:bookmarkEnd w:id="129"/>
      <w:bookmarkEnd w:id="130"/>
      <w:bookmarkEnd w:id="131"/>
      <w:bookmarkEnd w:id="132"/>
      <w:bookmarkEnd w:id="133"/>
      <w:bookmarkEnd w:id="134"/>
      <w:bookmarkEnd w:id="135"/>
      <w:bookmarkEnd w:id="136"/>
      <w:bookmarkEnd w:id="137"/>
    </w:p>
    <w:p>
      <w:pPr>
        <w:tabs>
          <w:tab w:val="left" w:pos="2640"/>
        </w:tabs>
        <w:autoSpaceDE w:val="0"/>
        <w:autoSpaceDN w:val="0"/>
        <w:adjustRightInd w:val="0"/>
        <w:spacing w:line="220" w:lineRule="exact"/>
        <w:ind w:left="120" w:right="-20"/>
        <w:jc w:val="left"/>
        <w:rPr>
          <w:rFonts w:ascii="宋体" w:hAnsi="宋体" w:cs="MingLiU"/>
          <w:snapToGrid w:val="0"/>
          <w:color w:val="auto"/>
          <w:kern w:val="0"/>
          <w:szCs w:val="21"/>
          <w:highlight w:val="none"/>
        </w:rPr>
      </w:pPr>
      <w:bookmarkStart w:id="138" w:name="_Toc224103496"/>
      <w:r>
        <w:rPr>
          <w:rFonts w:ascii="宋体" w:hAnsi="宋体"/>
          <w:snapToGrid w:val="0"/>
          <w:color w:val="auto"/>
          <w:kern w:val="0"/>
          <w:szCs w:val="21"/>
          <w:highlight w:val="none"/>
          <w:u w:val="single"/>
        </w:rPr>
        <w:tab/>
      </w:r>
      <w:r>
        <w:rPr>
          <w:rFonts w:hint="eastAsia" w:ascii="宋体" w:hAnsi="宋体" w:cs="MingLiU"/>
          <w:snapToGrid w:val="0"/>
          <w:color w:val="auto"/>
          <w:kern w:val="0"/>
          <w:szCs w:val="21"/>
          <w:highlight w:val="none"/>
        </w:rPr>
        <w:t>（招标人名称）：</w:t>
      </w:r>
    </w:p>
    <w:p>
      <w:pPr>
        <w:autoSpaceDE w:val="0"/>
        <w:autoSpaceDN w:val="0"/>
        <w:adjustRightInd w:val="0"/>
        <w:spacing w:before="15" w:line="140" w:lineRule="exact"/>
        <w:jc w:val="left"/>
        <w:rPr>
          <w:rFonts w:ascii="宋体" w:hAnsi="宋体" w:cs="MingLiU"/>
          <w:snapToGrid w:val="0"/>
          <w:color w:val="auto"/>
          <w:kern w:val="0"/>
          <w:sz w:val="14"/>
          <w:szCs w:val="14"/>
          <w:highlight w:val="none"/>
        </w:rPr>
      </w:pPr>
    </w:p>
    <w:p>
      <w:pPr>
        <w:autoSpaceDE w:val="0"/>
        <w:autoSpaceDN w:val="0"/>
        <w:adjustRightInd w:val="0"/>
        <w:spacing w:line="200" w:lineRule="exact"/>
        <w:jc w:val="left"/>
        <w:rPr>
          <w:rFonts w:ascii="宋体" w:hAnsi="宋体" w:cs="MingLiU"/>
          <w:snapToGrid w:val="0"/>
          <w:color w:val="auto"/>
          <w:kern w:val="0"/>
          <w:sz w:val="20"/>
          <w:szCs w:val="20"/>
          <w:highlight w:val="none"/>
        </w:rPr>
      </w:pP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420" w:firstLineChars="200"/>
        <w:rPr>
          <w:rFonts w:ascii="宋体" w:hAnsi="宋体" w:cs="MingLiU"/>
          <w:snapToGrid w:val="0"/>
          <w:color w:val="auto"/>
          <w:kern w:val="0"/>
          <w:szCs w:val="21"/>
          <w:highlight w:val="none"/>
        </w:rPr>
      </w:pPr>
      <w:r>
        <w:rPr>
          <w:rFonts w:ascii="宋体" w:hAnsi="宋体" w:cs="Microsoft JhengHei"/>
          <w:color w:val="auto"/>
          <w:szCs w:val="21"/>
          <w:highlight w:val="none"/>
        </w:rPr>
        <w:t>1</w:t>
      </w:r>
      <w:r>
        <w:rPr>
          <w:rFonts w:ascii="宋体" w:hAnsi="宋体"/>
          <w:color w:val="auto"/>
          <w:szCs w:val="21"/>
          <w:highlight w:val="none"/>
        </w:rPr>
        <w:t>．</w:t>
      </w:r>
      <w:r>
        <w:rPr>
          <w:rFonts w:ascii="宋体" w:hAnsi="宋体"/>
          <w:snapToGrid w:val="0"/>
          <w:color w:val="auto"/>
          <w:kern w:val="0"/>
          <w:szCs w:val="21"/>
          <w:highlight w:val="none"/>
        </w:rPr>
        <w:t>我方已仔细研究了</w:t>
      </w: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（项目名称）招标文件的全部内容，愿意</w:t>
      </w:r>
      <w:r>
        <w:rPr>
          <w:rFonts w:hint="eastAsia" w:ascii="宋体" w:hAnsi="宋体"/>
          <w:snapToGrid w:val="0"/>
          <w:color w:val="auto"/>
          <w:kern w:val="0"/>
          <w:szCs w:val="21"/>
          <w:highlight w:val="none"/>
        </w:rPr>
        <w:t>以</w:t>
      </w:r>
      <w:r>
        <w:rPr>
          <w:rFonts w:hint="eastAsia" w:ascii="宋体" w:hAnsi="宋体"/>
          <w:snapToGrid w:val="0"/>
          <w:color w:val="auto"/>
          <w:kern w:val="0"/>
          <w:szCs w:val="21"/>
          <w:highlight w:val="none"/>
          <w:lang w:val="en-US" w:eastAsia="zh-CN"/>
        </w:rPr>
        <w:t>投标</w:t>
      </w:r>
      <w:r>
        <w:rPr>
          <w:rFonts w:hint="eastAsia"/>
          <w:color w:val="auto"/>
          <w:szCs w:val="21"/>
          <w:highlight w:val="none"/>
        </w:rPr>
        <w:t>下浮比例</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r>
        <w:rPr>
          <w:rFonts w:hint="eastAsia"/>
          <w:color w:val="auto"/>
          <w:szCs w:val="21"/>
          <w:highlight w:val="none"/>
        </w:rPr>
        <w:t>，</w:t>
      </w:r>
      <w:r>
        <w:rPr>
          <w:rFonts w:hint="eastAsia" w:ascii="宋体" w:hAnsi="宋体"/>
          <w:color w:val="auto"/>
          <w:szCs w:val="21"/>
          <w:highlight w:val="none"/>
        </w:rPr>
        <w:t>暂定投标总报价为人民币</w:t>
      </w:r>
      <w:r>
        <w:rPr>
          <w:rFonts w:hint="eastAsia" w:ascii="宋体" w:hAnsi="宋体"/>
          <w:color w:val="auto"/>
          <w:szCs w:val="21"/>
          <w:highlight w:val="none"/>
          <w:u w:val="single"/>
        </w:rPr>
        <w:t xml:space="preserve">       </w:t>
      </w:r>
      <w:r>
        <w:rPr>
          <w:rFonts w:hint="eastAsia" w:ascii="宋体" w:hAnsi="宋体"/>
          <w:color w:val="auto"/>
          <w:szCs w:val="21"/>
          <w:highlight w:val="none"/>
          <w:lang w:val="en-US" w:eastAsia="zh-CN"/>
        </w:rPr>
        <w:t xml:space="preserve"> 元</w:t>
      </w:r>
      <w:r>
        <w:rPr>
          <w:rFonts w:hint="eastAsia" w:ascii="宋体" w:hAnsi="宋体"/>
          <w:color w:val="auto"/>
          <w:szCs w:val="21"/>
          <w:highlight w:val="none"/>
        </w:rPr>
        <w:t>（大写：</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s="宋体"/>
          <w:color w:val="auto"/>
          <w:szCs w:val="21"/>
          <w:highlight w:val="none"/>
        </w:rPr>
        <w:t>[暂</w:t>
      </w:r>
      <w:r>
        <w:rPr>
          <w:rFonts w:hint="eastAsia" w:ascii="宋体" w:hAnsi="宋体"/>
          <w:snapToGrid w:val="0"/>
          <w:color w:val="auto"/>
          <w:kern w:val="0"/>
          <w:szCs w:val="21"/>
          <w:highlight w:val="none"/>
        </w:rPr>
        <w:t>定投标总报价=</w:t>
      </w:r>
      <w:r>
        <w:rPr>
          <w:rFonts w:hint="eastAsia" w:ascii="Times New Roman" w:hAnsi="Times New Roman" w:eastAsia="宋体" w:cs="Times New Roman"/>
          <w:color w:val="auto"/>
          <w:highlight w:val="none"/>
          <w:lang w:val="en-US" w:eastAsia="zh-CN"/>
        </w:rPr>
        <w:t>2020.8</w:t>
      </w:r>
      <w:r>
        <w:rPr>
          <w:rFonts w:hint="eastAsia" w:ascii="宋体" w:hAnsi="宋体"/>
          <w:snapToGrid w:val="0"/>
          <w:color w:val="auto"/>
          <w:kern w:val="0"/>
          <w:szCs w:val="21"/>
          <w:highlight w:val="none"/>
        </w:rPr>
        <w:t>万元×（1-投标报价下浮比例），此计算仅作为投标评标依据]</w:t>
      </w:r>
      <w:r>
        <w:rPr>
          <w:rFonts w:hint="eastAsia" w:ascii="宋体" w:hAnsi="宋体" w:cs="MingLiU"/>
          <w:snapToGrid w:val="0"/>
          <w:color w:val="auto"/>
          <w:kern w:val="0"/>
          <w:szCs w:val="21"/>
          <w:highlight w:val="none"/>
        </w:rPr>
        <w:t>作为本工程的投标报价。</w:t>
      </w:r>
      <w:r>
        <w:rPr>
          <w:rFonts w:hint="eastAsia" w:ascii="宋体" w:hAnsi="宋体" w:cs="MingLiU"/>
          <w:snapToGrid w:val="0"/>
          <w:color w:val="auto"/>
          <w:kern w:val="0"/>
          <w:szCs w:val="21"/>
          <w:highlight w:val="none"/>
          <w:lang w:val="en-US" w:eastAsia="zh-CN"/>
        </w:rPr>
        <w:t>项目经理</w:t>
      </w:r>
      <w:r>
        <w:rPr>
          <w:rFonts w:hint="eastAsia" w:ascii="宋体" w:hAnsi="宋体" w:cs="MingLiU"/>
          <w:snapToGrid w:val="0"/>
          <w:color w:val="auto"/>
          <w:kern w:val="0"/>
          <w:szCs w:val="21"/>
          <w:highlight w:val="none"/>
          <w:u w:val="single"/>
          <w:lang w:val="en-US" w:eastAsia="zh-CN"/>
        </w:rPr>
        <w:t xml:space="preserve">        </w:t>
      </w:r>
      <w:r>
        <w:rPr>
          <w:rFonts w:hint="eastAsia" w:ascii="宋体" w:hAnsi="宋体" w:cs="MingLiU"/>
          <w:snapToGrid w:val="0"/>
          <w:color w:val="auto"/>
          <w:kern w:val="0"/>
          <w:szCs w:val="21"/>
          <w:highlight w:val="none"/>
          <w:u w:val="none"/>
          <w:lang w:val="en-US" w:eastAsia="zh-CN"/>
        </w:rPr>
        <w:t>，</w:t>
      </w:r>
      <w:r>
        <w:rPr>
          <w:rFonts w:hint="eastAsia" w:ascii="宋体" w:hAnsi="宋体" w:cs="MingLiU"/>
          <w:snapToGrid w:val="0"/>
          <w:color w:val="auto"/>
          <w:kern w:val="0"/>
          <w:szCs w:val="21"/>
          <w:highlight w:val="none"/>
        </w:rPr>
        <w:t>工期</w:t>
      </w:r>
      <w:r>
        <w:rPr>
          <w:rFonts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lang w:val="en-US" w:eastAsia="zh-CN"/>
        </w:rPr>
        <w:t>日历天</w:t>
      </w:r>
      <w:r>
        <w:rPr>
          <w:rFonts w:hint="eastAsia" w:ascii="宋体" w:hAnsi="宋体" w:cs="MingLiU"/>
          <w:snapToGrid w:val="0"/>
          <w:color w:val="auto"/>
          <w:kern w:val="0"/>
          <w:szCs w:val="21"/>
          <w:highlight w:val="none"/>
        </w:rPr>
        <w:t>，</w:t>
      </w:r>
      <w:r>
        <w:rPr>
          <w:rFonts w:ascii="宋体" w:hAnsi="宋体"/>
          <w:snapToGrid w:val="0"/>
          <w:color w:val="auto"/>
          <w:kern w:val="0"/>
          <w:szCs w:val="21"/>
          <w:highlight w:val="none"/>
        </w:rPr>
        <w:t xml:space="preserve"> </w:t>
      </w:r>
      <w:r>
        <w:rPr>
          <w:rFonts w:hint="eastAsia" w:ascii="宋体" w:hAnsi="宋体" w:cs="MingLiU"/>
          <w:snapToGrid w:val="0"/>
          <w:color w:val="auto"/>
          <w:kern w:val="0"/>
          <w:szCs w:val="21"/>
          <w:highlight w:val="none"/>
        </w:rPr>
        <w:t>按合同约定实施和完成承包工程，修补工程中的任何缺陷，工程质量达到</w:t>
      </w:r>
      <w:r>
        <w:rPr>
          <w:rFonts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 xml:space="preserve"> </w:t>
      </w:r>
      <w:r>
        <w:rPr>
          <w:rFonts w:hint="eastAsia" w:ascii="宋体" w:hAnsi="宋体" w:cs="MingLiU"/>
          <w:snapToGrid w:val="0"/>
          <w:color w:val="auto"/>
          <w:kern w:val="0"/>
          <w:szCs w:val="21"/>
          <w:highlight w:val="none"/>
        </w:rPr>
        <w:t>。</w:t>
      </w:r>
    </w:p>
    <w:p>
      <w:pPr>
        <w:autoSpaceDE w:val="0"/>
        <w:autoSpaceDN w:val="0"/>
        <w:adjustRightInd w:val="0"/>
        <w:spacing w:before="15"/>
        <w:ind w:left="540" w:right="-20"/>
        <w:jc w:val="left"/>
        <w:rPr>
          <w:rFonts w:ascii="宋体" w:hAnsi="宋体" w:cs="MingLiU"/>
          <w:snapToGrid w:val="0"/>
          <w:color w:val="auto"/>
          <w:kern w:val="0"/>
          <w:szCs w:val="21"/>
          <w:highlight w:val="none"/>
        </w:rPr>
      </w:pPr>
      <w:r>
        <w:rPr>
          <w:rFonts w:ascii="宋体" w:hAnsi="宋体"/>
          <w:snapToGrid w:val="0"/>
          <w:color w:val="auto"/>
          <w:kern w:val="0"/>
          <w:szCs w:val="21"/>
          <w:highlight w:val="none"/>
        </w:rPr>
        <w:t>2</w:t>
      </w:r>
      <w:r>
        <w:rPr>
          <w:rFonts w:hint="eastAsia" w:ascii="宋体" w:hAnsi="宋体" w:cs="MingLiU"/>
          <w:snapToGrid w:val="0"/>
          <w:color w:val="auto"/>
          <w:kern w:val="0"/>
          <w:szCs w:val="21"/>
          <w:highlight w:val="none"/>
        </w:rPr>
        <w:t>．我方承诺在投标有效期内不修改、撤销投标文件。</w:t>
      </w:r>
    </w:p>
    <w:p>
      <w:pPr>
        <w:autoSpaceDE w:val="0"/>
        <w:autoSpaceDN w:val="0"/>
        <w:adjustRightInd w:val="0"/>
        <w:spacing w:before="10" w:line="100" w:lineRule="exact"/>
        <w:jc w:val="left"/>
        <w:rPr>
          <w:rFonts w:ascii="宋体" w:hAnsi="宋体" w:cs="MingLiU"/>
          <w:snapToGrid w:val="0"/>
          <w:color w:val="auto"/>
          <w:kern w:val="0"/>
          <w:sz w:val="10"/>
          <w:szCs w:val="10"/>
          <w:highlight w:val="none"/>
        </w:rPr>
      </w:pPr>
    </w:p>
    <w:p>
      <w:pPr>
        <w:tabs>
          <w:tab w:val="left" w:pos="2730"/>
          <w:tab w:val="left" w:pos="7980"/>
        </w:tabs>
        <w:autoSpaceDE w:val="0"/>
        <w:autoSpaceDN w:val="0"/>
        <w:adjustRightInd w:val="0"/>
        <w:ind w:right="-119" w:firstLine="539" w:firstLineChars="257"/>
        <w:jc w:val="left"/>
        <w:rPr>
          <w:rFonts w:ascii="宋体" w:hAnsi="宋体" w:cs="MingLiU"/>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cs="MingLiU"/>
          <w:snapToGrid w:val="0"/>
          <w:color w:val="auto"/>
          <w:kern w:val="0"/>
          <w:szCs w:val="21"/>
          <w:highlight w:val="none"/>
        </w:rPr>
        <w:t>．如我方中标：</w:t>
      </w:r>
    </w:p>
    <w:p>
      <w:pPr>
        <w:autoSpaceDE w:val="0"/>
        <w:autoSpaceDN w:val="0"/>
        <w:adjustRightInd w:val="0"/>
        <w:spacing w:before="11" w:line="100" w:lineRule="exact"/>
        <w:jc w:val="left"/>
        <w:rPr>
          <w:rFonts w:ascii="宋体" w:hAnsi="宋体" w:cs="MingLiU"/>
          <w:snapToGrid w:val="0"/>
          <w:color w:val="auto"/>
          <w:kern w:val="0"/>
          <w:sz w:val="10"/>
          <w:szCs w:val="10"/>
          <w:highlight w:val="none"/>
        </w:rPr>
      </w:pPr>
    </w:p>
    <w:p>
      <w:pPr>
        <w:autoSpaceDE w:val="0"/>
        <w:autoSpaceDN w:val="0"/>
        <w:adjustRightInd w:val="0"/>
        <w:ind w:left="838" w:right="-80"/>
        <w:jc w:val="left"/>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w:t>
      </w:r>
      <w:r>
        <w:rPr>
          <w:rFonts w:ascii="宋体" w:hAnsi="宋体"/>
          <w:snapToGrid w:val="0"/>
          <w:color w:val="auto"/>
          <w:kern w:val="0"/>
          <w:szCs w:val="21"/>
          <w:highlight w:val="none"/>
        </w:rPr>
        <w:t>1</w:t>
      </w:r>
      <w:r>
        <w:rPr>
          <w:rFonts w:hint="eastAsia" w:ascii="宋体" w:hAnsi="宋体" w:cs="MingLiU"/>
          <w:snapToGrid w:val="0"/>
          <w:color w:val="auto"/>
          <w:kern w:val="0"/>
          <w:szCs w:val="21"/>
          <w:highlight w:val="none"/>
        </w:rPr>
        <w:t>）我方承诺在收到中标通知书后，在中标通知书规定的期限内与你方签订合同。</w:t>
      </w:r>
    </w:p>
    <w:p>
      <w:pPr>
        <w:autoSpaceDE w:val="0"/>
        <w:autoSpaceDN w:val="0"/>
        <w:adjustRightInd w:val="0"/>
        <w:spacing w:before="10" w:line="100" w:lineRule="exact"/>
        <w:jc w:val="left"/>
        <w:rPr>
          <w:rFonts w:ascii="宋体" w:hAnsi="宋体" w:cs="MingLiU"/>
          <w:snapToGrid w:val="0"/>
          <w:color w:val="auto"/>
          <w:kern w:val="0"/>
          <w:sz w:val="10"/>
          <w:szCs w:val="10"/>
          <w:highlight w:val="none"/>
        </w:rPr>
      </w:pPr>
    </w:p>
    <w:p>
      <w:pPr>
        <w:autoSpaceDE w:val="0"/>
        <w:autoSpaceDN w:val="0"/>
        <w:adjustRightInd w:val="0"/>
        <w:ind w:left="838" w:right="-20"/>
        <w:jc w:val="left"/>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w:t>
      </w:r>
      <w:r>
        <w:rPr>
          <w:rFonts w:ascii="宋体" w:hAnsi="宋体"/>
          <w:snapToGrid w:val="0"/>
          <w:color w:val="auto"/>
          <w:kern w:val="0"/>
          <w:szCs w:val="21"/>
          <w:highlight w:val="none"/>
        </w:rPr>
        <w:t>2</w:t>
      </w:r>
      <w:r>
        <w:rPr>
          <w:rFonts w:hint="eastAsia" w:ascii="宋体" w:hAnsi="宋体" w:cs="MingLiU"/>
          <w:snapToGrid w:val="0"/>
          <w:color w:val="auto"/>
          <w:kern w:val="0"/>
          <w:szCs w:val="21"/>
          <w:highlight w:val="none"/>
        </w:rPr>
        <w:t>）随同本投标函递交的投标函附录属于合同文件的组成部分。</w:t>
      </w:r>
    </w:p>
    <w:p>
      <w:pPr>
        <w:autoSpaceDE w:val="0"/>
        <w:autoSpaceDN w:val="0"/>
        <w:adjustRightInd w:val="0"/>
        <w:spacing w:before="11" w:line="100" w:lineRule="exact"/>
        <w:jc w:val="left"/>
        <w:rPr>
          <w:rFonts w:ascii="宋体" w:hAnsi="宋体" w:cs="MingLiU"/>
          <w:snapToGrid w:val="0"/>
          <w:color w:val="auto"/>
          <w:kern w:val="0"/>
          <w:sz w:val="10"/>
          <w:szCs w:val="10"/>
          <w:highlight w:val="none"/>
        </w:rPr>
      </w:pPr>
    </w:p>
    <w:p>
      <w:pPr>
        <w:autoSpaceDE w:val="0"/>
        <w:autoSpaceDN w:val="0"/>
        <w:adjustRightInd w:val="0"/>
        <w:ind w:left="838" w:right="-20"/>
        <w:jc w:val="left"/>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w:t>
      </w:r>
      <w:r>
        <w:rPr>
          <w:rFonts w:ascii="宋体" w:hAnsi="宋体"/>
          <w:snapToGrid w:val="0"/>
          <w:color w:val="auto"/>
          <w:kern w:val="0"/>
          <w:szCs w:val="21"/>
          <w:highlight w:val="none"/>
        </w:rPr>
        <w:t>3</w:t>
      </w:r>
      <w:r>
        <w:rPr>
          <w:rFonts w:hint="eastAsia" w:ascii="宋体" w:hAnsi="宋体" w:cs="MingLiU"/>
          <w:snapToGrid w:val="0"/>
          <w:color w:val="auto"/>
          <w:kern w:val="0"/>
          <w:szCs w:val="21"/>
          <w:highlight w:val="none"/>
        </w:rPr>
        <w:t>）我方承诺在合同约定的期限内完成并移交全部合同工程。</w:t>
      </w:r>
    </w:p>
    <w:p>
      <w:pPr>
        <w:autoSpaceDE w:val="0"/>
        <w:autoSpaceDN w:val="0"/>
        <w:adjustRightInd w:val="0"/>
        <w:spacing w:before="10" w:line="100" w:lineRule="exact"/>
        <w:jc w:val="left"/>
        <w:rPr>
          <w:rFonts w:ascii="宋体" w:hAnsi="宋体" w:cs="MingLiU"/>
          <w:snapToGrid w:val="0"/>
          <w:color w:val="auto"/>
          <w:kern w:val="0"/>
          <w:sz w:val="10"/>
          <w:szCs w:val="10"/>
          <w:highlight w:val="none"/>
        </w:rPr>
      </w:pPr>
    </w:p>
    <w:p>
      <w:pPr>
        <w:autoSpaceDE w:val="0"/>
        <w:autoSpaceDN w:val="0"/>
        <w:adjustRightInd w:val="0"/>
        <w:spacing w:line="354" w:lineRule="auto"/>
        <w:ind w:left="120" w:right="-9" w:firstLine="420"/>
        <w:jc w:val="left"/>
        <w:rPr>
          <w:rFonts w:ascii="宋体" w:hAnsi="宋体" w:cs="MingLiU"/>
          <w:snapToGrid w:val="0"/>
          <w:color w:val="auto"/>
          <w:kern w:val="0"/>
          <w:szCs w:val="21"/>
          <w:highlight w:val="none"/>
        </w:rPr>
      </w:pPr>
      <w:r>
        <w:rPr>
          <w:rFonts w:hint="eastAsia" w:ascii="宋体" w:hAnsi="宋体"/>
          <w:snapToGrid w:val="0"/>
          <w:color w:val="auto"/>
          <w:kern w:val="0"/>
          <w:szCs w:val="21"/>
          <w:highlight w:val="none"/>
          <w:lang w:val="en-US" w:eastAsia="zh-CN"/>
        </w:rPr>
        <w:t>4</w:t>
      </w:r>
      <w:r>
        <w:rPr>
          <w:rFonts w:hint="eastAsia" w:ascii="宋体" w:hAnsi="宋体" w:cs="MingLiU"/>
          <w:snapToGrid w:val="0"/>
          <w:color w:val="auto"/>
          <w:kern w:val="0"/>
          <w:szCs w:val="21"/>
          <w:highlight w:val="none"/>
        </w:rPr>
        <w:t>．我方在此声明，所递交的投标文件及有关资料内容完整、真实和准确，且不存在第二章“投标人须知”第</w:t>
      </w:r>
      <w:r>
        <w:rPr>
          <w:rFonts w:ascii="宋体" w:hAnsi="宋体"/>
          <w:snapToGrid w:val="0"/>
          <w:color w:val="auto"/>
          <w:kern w:val="0"/>
          <w:szCs w:val="21"/>
          <w:highlight w:val="none"/>
        </w:rPr>
        <w:t xml:space="preserve"> 1.4.3 </w:t>
      </w:r>
      <w:r>
        <w:rPr>
          <w:rFonts w:hint="eastAsia" w:ascii="宋体" w:hAnsi="宋体" w:cs="MingLiU"/>
          <w:snapToGrid w:val="0"/>
          <w:color w:val="auto"/>
          <w:kern w:val="0"/>
          <w:szCs w:val="21"/>
          <w:highlight w:val="none"/>
        </w:rPr>
        <w:t>项规定的任何一种情形。同时我方承诺接受招标文件及附件、答疑及补遗通知中所有的内容。</w:t>
      </w:r>
    </w:p>
    <w:p>
      <w:pPr>
        <w:tabs>
          <w:tab w:val="left" w:pos="4940"/>
        </w:tabs>
        <w:autoSpaceDE w:val="0"/>
        <w:autoSpaceDN w:val="0"/>
        <w:adjustRightInd w:val="0"/>
        <w:ind w:left="540" w:right="-20"/>
        <w:jc w:val="left"/>
        <w:rPr>
          <w:rFonts w:hint="eastAsia" w:ascii="宋体" w:hAnsi="宋体" w:cs="MingLiU"/>
          <w:snapToGrid w:val="0"/>
          <w:color w:val="auto"/>
          <w:kern w:val="0"/>
          <w:szCs w:val="21"/>
          <w:highlight w:val="none"/>
        </w:rPr>
      </w:pPr>
      <w:r>
        <w:rPr>
          <w:rFonts w:hint="eastAsia" w:ascii="宋体" w:hAnsi="宋体"/>
          <w:snapToGrid w:val="0"/>
          <w:color w:val="auto"/>
          <w:kern w:val="0"/>
          <w:szCs w:val="21"/>
          <w:highlight w:val="none"/>
          <w:lang w:val="en-US" w:eastAsia="zh-CN"/>
        </w:rPr>
        <w:t>5</w:t>
      </w:r>
      <w:r>
        <w:rPr>
          <w:rFonts w:hint="eastAsia" w:ascii="宋体" w:hAnsi="宋体" w:cs="MingLiU"/>
          <w:snapToGrid w:val="0"/>
          <w:color w:val="auto"/>
          <w:kern w:val="0"/>
          <w:szCs w:val="21"/>
          <w:highlight w:val="none"/>
        </w:rPr>
        <w:t>．</w:t>
      </w:r>
      <w:r>
        <w:rPr>
          <w:rFonts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hint="eastAsia" w:ascii="宋体" w:hAnsi="宋体" w:cs="MingLiU"/>
          <w:snapToGrid w:val="0"/>
          <w:color w:val="auto"/>
          <w:kern w:val="0"/>
          <w:szCs w:val="21"/>
          <w:highlight w:val="none"/>
        </w:rPr>
        <w:t>（其他补充说明）。</w:t>
      </w:r>
    </w:p>
    <w:p>
      <w:pPr>
        <w:tabs>
          <w:tab w:val="left" w:pos="7140"/>
          <w:tab w:val="left" w:pos="7560"/>
          <w:tab w:val="left" w:pos="8300"/>
        </w:tabs>
        <w:autoSpaceDE w:val="0"/>
        <w:autoSpaceDN w:val="0"/>
        <w:adjustRightInd w:val="0"/>
        <w:spacing w:line="370" w:lineRule="auto"/>
        <w:ind w:right="210" w:firstLine="1995" w:firstLineChars="950"/>
        <w:rPr>
          <w:rFonts w:hint="eastAsia" w:ascii="宋体" w:hAnsi="宋体" w:cs="MingLiU"/>
          <w:snapToGrid w:val="0"/>
          <w:color w:val="auto"/>
          <w:kern w:val="0"/>
          <w:szCs w:val="21"/>
          <w:highlight w:val="none"/>
        </w:rPr>
      </w:pPr>
    </w:p>
    <w:p>
      <w:pPr>
        <w:tabs>
          <w:tab w:val="left" w:pos="7140"/>
          <w:tab w:val="left" w:pos="7560"/>
          <w:tab w:val="left" w:pos="8300"/>
        </w:tabs>
        <w:autoSpaceDE w:val="0"/>
        <w:autoSpaceDN w:val="0"/>
        <w:adjustRightInd w:val="0"/>
        <w:spacing w:line="370" w:lineRule="auto"/>
        <w:ind w:right="210" w:firstLine="1995" w:firstLineChars="950"/>
        <w:rPr>
          <w:rFonts w:hint="eastAsia" w:ascii="宋体" w:hAnsi="宋体" w:cs="MingLiU"/>
          <w:snapToGrid w:val="0"/>
          <w:color w:val="auto"/>
          <w:kern w:val="0"/>
          <w:szCs w:val="21"/>
          <w:highlight w:val="none"/>
        </w:rPr>
      </w:pPr>
    </w:p>
    <w:p>
      <w:pPr>
        <w:tabs>
          <w:tab w:val="left" w:pos="7140"/>
          <w:tab w:val="left" w:pos="7560"/>
          <w:tab w:val="left" w:pos="8300"/>
        </w:tabs>
        <w:autoSpaceDE w:val="0"/>
        <w:autoSpaceDN w:val="0"/>
        <w:adjustRightInd w:val="0"/>
        <w:spacing w:line="370" w:lineRule="auto"/>
        <w:ind w:right="210" w:firstLine="1995" w:firstLineChars="950"/>
        <w:rPr>
          <w:rFonts w:hint="eastAsia" w:ascii="宋体" w:hAnsi="宋体"/>
          <w:snapToGrid w:val="0"/>
          <w:color w:val="auto"/>
          <w:kern w:val="0"/>
          <w:szCs w:val="21"/>
          <w:highlight w:val="none"/>
        </w:rPr>
      </w:pPr>
      <w:r>
        <w:rPr>
          <w:rFonts w:hint="eastAsia" w:ascii="宋体" w:hAnsi="宋体" w:cs="MingLiU"/>
          <w:snapToGrid w:val="0"/>
          <w:color w:val="auto"/>
          <w:kern w:val="0"/>
          <w:szCs w:val="21"/>
          <w:highlight w:val="none"/>
        </w:rPr>
        <w:t>投</w:t>
      </w:r>
      <w:r>
        <w:rPr>
          <w:rFonts w:ascii="宋体" w:hAnsi="宋体"/>
          <w:snapToGrid w:val="0"/>
          <w:color w:val="auto"/>
          <w:kern w:val="0"/>
          <w:szCs w:val="21"/>
          <w:highlight w:val="none"/>
        </w:rPr>
        <w:t xml:space="preserve">  </w:t>
      </w:r>
      <w:r>
        <w:rPr>
          <w:rFonts w:hint="eastAsia" w:ascii="宋体" w:hAnsi="宋体" w:cs="MingLiU"/>
          <w:snapToGrid w:val="0"/>
          <w:color w:val="auto"/>
          <w:kern w:val="0"/>
          <w:szCs w:val="21"/>
          <w:highlight w:val="none"/>
        </w:rPr>
        <w:t>标</w:t>
      </w:r>
      <w:r>
        <w:rPr>
          <w:rFonts w:ascii="宋体" w:hAnsi="宋体"/>
          <w:snapToGrid w:val="0"/>
          <w:color w:val="auto"/>
          <w:kern w:val="0"/>
          <w:szCs w:val="21"/>
          <w:highlight w:val="none"/>
        </w:rPr>
        <w:t xml:space="preserve">  </w:t>
      </w:r>
      <w:r>
        <w:rPr>
          <w:rFonts w:hint="eastAsia" w:ascii="宋体" w:hAnsi="宋体" w:cs="MingLiU"/>
          <w:snapToGrid w:val="0"/>
          <w:color w:val="auto"/>
          <w:kern w:val="0"/>
          <w:szCs w:val="21"/>
          <w:highlight w:val="none"/>
        </w:rPr>
        <w:t>人：</w:t>
      </w:r>
      <w:r>
        <w:rPr>
          <w:rFonts w:hint="eastAsia" w:ascii="宋体" w:hAnsi="宋体" w:cs="MingLiU"/>
          <w:snapToGrid w:val="0"/>
          <w:color w:val="auto"/>
          <w:kern w:val="0"/>
          <w:szCs w:val="21"/>
          <w:highlight w:val="none"/>
          <w:u w:val="single"/>
        </w:rPr>
        <w:t xml:space="preserve">                　　　　　     </w:t>
      </w:r>
      <w:r>
        <w:rPr>
          <w:rFonts w:hint="eastAsia" w:ascii="宋体" w:hAnsi="宋体" w:cs="MingLiU"/>
          <w:snapToGrid w:val="0"/>
          <w:color w:val="auto"/>
          <w:kern w:val="0"/>
          <w:szCs w:val="21"/>
          <w:highlight w:val="none"/>
        </w:rPr>
        <w:t>（盖单位章）</w:t>
      </w:r>
      <w:r>
        <w:rPr>
          <w:rFonts w:ascii="宋体" w:hAnsi="宋体"/>
          <w:snapToGrid w:val="0"/>
          <w:color w:val="auto"/>
          <w:kern w:val="0"/>
          <w:szCs w:val="21"/>
          <w:highlight w:val="none"/>
        </w:rPr>
        <w:t xml:space="preserve"> </w:t>
      </w:r>
    </w:p>
    <w:p>
      <w:pPr>
        <w:tabs>
          <w:tab w:val="left" w:pos="7140"/>
          <w:tab w:val="left" w:pos="7560"/>
          <w:tab w:val="left" w:pos="8300"/>
        </w:tabs>
        <w:autoSpaceDE w:val="0"/>
        <w:autoSpaceDN w:val="0"/>
        <w:adjustRightInd w:val="0"/>
        <w:spacing w:line="370" w:lineRule="auto"/>
        <w:ind w:right="210" w:firstLine="1995" w:firstLineChars="950"/>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法定代表人或其委托代理人：</w:t>
      </w:r>
      <w:r>
        <w:rPr>
          <w:rFonts w:hint="eastAsia" w:ascii="宋体" w:hAnsi="宋体" w:cs="MingLiU"/>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（签字或盖章）</w:t>
      </w:r>
    </w:p>
    <w:p>
      <w:pPr>
        <w:tabs>
          <w:tab w:val="left" w:pos="7035"/>
          <w:tab w:val="left" w:pos="7560"/>
          <w:tab w:val="left" w:pos="8300"/>
        </w:tabs>
        <w:autoSpaceDE w:val="0"/>
        <w:autoSpaceDN w:val="0"/>
        <w:adjustRightInd w:val="0"/>
        <w:spacing w:line="370" w:lineRule="auto"/>
        <w:ind w:right="210" w:firstLine="1995" w:firstLineChars="950"/>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地址：</w:t>
      </w:r>
      <w:r>
        <w:rPr>
          <w:rFonts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p>
    <w:p>
      <w:pPr>
        <w:tabs>
          <w:tab w:val="left" w:pos="8300"/>
        </w:tabs>
        <w:autoSpaceDE w:val="0"/>
        <w:autoSpaceDN w:val="0"/>
        <w:adjustRightInd w:val="0"/>
        <w:spacing w:before="1"/>
        <w:ind w:left="1985" w:right="-20"/>
        <w:jc w:val="left"/>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网址：</w:t>
      </w:r>
      <w:r>
        <w:rPr>
          <w:rFonts w:ascii="宋体" w:hAnsi="宋体" w:cs="MingLiU"/>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w:t>
      </w:r>
    </w:p>
    <w:p>
      <w:pPr>
        <w:autoSpaceDE w:val="0"/>
        <w:autoSpaceDN w:val="0"/>
        <w:adjustRightInd w:val="0"/>
        <w:spacing w:before="14" w:line="200" w:lineRule="exact"/>
        <w:jc w:val="left"/>
        <w:rPr>
          <w:rFonts w:ascii="宋体" w:hAnsi="宋体" w:cs="MingLiU"/>
          <w:snapToGrid w:val="0"/>
          <w:color w:val="auto"/>
          <w:kern w:val="0"/>
          <w:sz w:val="20"/>
          <w:szCs w:val="20"/>
          <w:highlight w:val="none"/>
        </w:rPr>
      </w:pPr>
    </w:p>
    <w:p>
      <w:pPr>
        <w:tabs>
          <w:tab w:val="left" w:pos="8300"/>
        </w:tabs>
        <w:autoSpaceDE w:val="0"/>
        <w:autoSpaceDN w:val="0"/>
        <w:adjustRightInd w:val="0"/>
        <w:spacing w:line="220" w:lineRule="exact"/>
        <w:ind w:left="1985" w:right="-20"/>
        <w:jc w:val="left"/>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电话：</w:t>
      </w:r>
      <w:r>
        <w:rPr>
          <w:rFonts w:ascii="宋体" w:hAnsi="宋体" w:cs="MingLiU"/>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w:t>
      </w:r>
    </w:p>
    <w:p>
      <w:pPr>
        <w:autoSpaceDE w:val="0"/>
        <w:autoSpaceDN w:val="0"/>
        <w:adjustRightInd w:val="0"/>
        <w:spacing w:before="13" w:line="200" w:lineRule="exact"/>
        <w:jc w:val="left"/>
        <w:rPr>
          <w:rFonts w:ascii="宋体" w:hAnsi="宋体" w:cs="MingLiU"/>
          <w:snapToGrid w:val="0"/>
          <w:color w:val="auto"/>
          <w:kern w:val="0"/>
          <w:sz w:val="20"/>
          <w:szCs w:val="20"/>
          <w:highlight w:val="none"/>
        </w:rPr>
      </w:pPr>
    </w:p>
    <w:p>
      <w:pPr>
        <w:tabs>
          <w:tab w:val="left" w:pos="8300"/>
        </w:tabs>
        <w:autoSpaceDE w:val="0"/>
        <w:autoSpaceDN w:val="0"/>
        <w:adjustRightInd w:val="0"/>
        <w:spacing w:line="220" w:lineRule="exact"/>
        <w:ind w:left="1985" w:right="-20"/>
        <w:jc w:val="left"/>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传真：</w:t>
      </w:r>
      <w:r>
        <w:rPr>
          <w:rFonts w:ascii="宋体" w:hAnsi="宋体" w:cs="MingLiU"/>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w:t>
      </w:r>
    </w:p>
    <w:p>
      <w:pPr>
        <w:tabs>
          <w:tab w:val="left" w:pos="8300"/>
        </w:tabs>
        <w:autoSpaceDE w:val="0"/>
        <w:autoSpaceDN w:val="0"/>
        <w:adjustRightInd w:val="0"/>
        <w:spacing w:line="220" w:lineRule="exact"/>
        <w:ind w:left="3796" w:right="-20"/>
        <w:jc w:val="left"/>
        <w:rPr>
          <w:rFonts w:hint="eastAsia" w:ascii="宋体" w:hAnsi="宋体" w:cs="MingLiU"/>
          <w:snapToGrid w:val="0"/>
          <w:color w:val="auto"/>
          <w:kern w:val="0"/>
          <w:szCs w:val="21"/>
          <w:highlight w:val="none"/>
        </w:rPr>
      </w:pPr>
    </w:p>
    <w:p>
      <w:pPr>
        <w:tabs>
          <w:tab w:val="left" w:pos="8300"/>
        </w:tabs>
        <w:autoSpaceDE w:val="0"/>
        <w:autoSpaceDN w:val="0"/>
        <w:adjustRightInd w:val="0"/>
        <w:spacing w:line="220" w:lineRule="exact"/>
        <w:ind w:left="1985" w:right="-20"/>
        <w:jc w:val="left"/>
        <w:rPr>
          <w:rFonts w:ascii="宋体" w:hAnsi="宋体" w:cs="MingLiU"/>
          <w:snapToGrid w:val="0"/>
          <w:color w:val="auto"/>
          <w:kern w:val="0"/>
          <w:sz w:val="20"/>
          <w:szCs w:val="20"/>
          <w:highlight w:val="none"/>
        </w:rPr>
      </w:pPr>
      <w:r>
        <w:rPr>
          <w:rFonts w:hint="eastAsia" w:ascii="宋体" w:hAnsi="宋体" w:cs="MingLiU"/>
          <w:snapToGrid w:val="0"/>
          <w:color w:val="auto"/>
          <w:kern w:val="0"/>
          <w:szCs w:val="21"/>
          <w:highlight w:val="none"/>
        </w:rPr>
        <w:t>邮政编码：</w:t>
      </w:r>
      <w:r>
        <w:rPr>
          <w:rFonts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u w:val="single"/>
        </w:rPr>
        <w:t>　　　　　　　　　</w:t>
      </w:r>
    </w:p>
    <w:p>
      <w:pPr>
        <w:autoSpaceDE w:val="0"/>
        <w:autoSpaceDN w:val="0"/>
        <w:adjustRightInd w:val="0"/>
        <w:spacing w:before="14" w:line="240" w:lineRule="exact"/>
        <w:jc w:val="left"/>
        <w:rPr>
          <w:rFonts w:ascii="宋体" w:hAnsi="宋体" w:cs="MingLiU"/>
          <w:snapToGrid w:val="0"/>
          <w:color w:val="auto"/>
          <w:kern w:val="0"/>
          <w:sz w:val="24"/>
          <w:highlight w:val="none"/>
        </w:rPr>
      </w:pPr>
    </w:p>
    <w:p>
      <w:pPr>
        <w:tabs>
          <w:tab w:val="left" w:pos="6000"/>
          <w:tab w:val="left" w:pos="7040"/>
          <w:tab w:val="left" w:pos="8100"/>
        </w:tabs>
        <w:autoSpaceDE w:val="0"/>
        <w:autoSpaceDN w:val="0"/>
        <w:adjustRightInd w:val="0"/>
        <w:spacing w:line="220" w:lineRule="exact"/>
        <w:ind w:right="-20" w:firstLine="4924" w:firstLineChars="2345"/>
        <w:jc w:val="left"/>
        <w:rPr>
          <w:rFonts w:hint="eastAsia" w:ascii="宋体" w:hAnsi="宋体" w:cs="MingLiU"/>
          <w:snapToGrid w:val="0"/>
          <w:color w:val="auto"/>
          <w:kern w:val="0"/>
          <w:szCs w:val="21"/>
          <w:highlight w:val="none"/>
          <w:u w:val="single"/>
        </w:rPr>
      </w:pPr>
    </w:p>
    <w:p>
      <w:pPr>
        <w:tabs>
          <w:tab w:val="left" w:pos="6000"/>
          <w:tab w:val="left" w:pos="7040"/>
          <w:tab w:val="left" w:pos="8100"/>
        </w:tabs>
        <w:autoSpaceDE w:val="0"/>
        <w:autoSpaceDN w:val="0"/>
        <w:adjustRightInd w:val="0"/>
        <w:spacing w:line="360" w:lineRule="auto"/>
        <w:ind w:right="-20" w:firstLine="4924" w:firstLineChars="2345"/>
        <w:jc w:val="left"/>
        <w:rPr>
          <w:rFonts w:hint="eastAsia" w:ascii="宋体" w:hAnsi="宋体" w:cs="MingLiU"/>
          <w:snapToGrid w:val="0"/>
          <w:color w:val="auto"/>
          <w:kern w:val="0"/>
          <w:szCs w:val="21"/>
          <w:highlight w:val="none"/>
          <w:u w:val="single"/>
        </w:rPr>
      </w:pPr>
    </w:p>
    <w:p>
      <w:pPr>
        <w:tabs>
          <w:tab w:val="left" w:pos="6000"/>
          <w:tab w:val="left" w:pos="7040"/>
          <w:tab w:val="left" w:pos="8100"/>
        </w:tabs>
        <w:autoSpaceDE w:val="0"/>
        <w:autoSpaceDN w:val="0"/>
        <w:adjustRightInd w:val="0"/>
        <w:snapToGrid w:val="0"/>
        <w:spacing w:line="360" w:lineRule="auto"/>
        <w:ind w:firstLine="4924" w:firstLineChars="2345"/>
        <w:jc w:val="left"/>
        <w:rPr>
          <w:rFonts w:hint="eastAsia" w:ascii="宋体" w:hAnsi="宋体" w:cs="MingLiU"/>
          <w:snapToGrid w:val="0"/>
          <w:color w:val="auto"/>
          <w:kern w:val="0"/>
          <w:szCs w:val="21"/>
          <w:highlight w:val="none"/>
        </w:rPr>
      </w:pPr>
      <w:r>
        <w:rPr>
          <w:rFonts w:hint="eastAsia" w:ascii="宋体" w:hAnsi="宋体" w:cs="MingLiU"/>
          <w:snapToGrid w:val="0"/>
          <w:color w:val="auto"/>
          <w:kern w:val="0"/>
          <w:szCs w:val="21"/>
          <w:highlight w:val="none"/>
          <w:u w:val="single"/>
        </w:rPr>
        <w:t xml:space="preserve">        </w:t>
      </w:r>
      <w:r>
        <w:rPr>
          <w:rFonts w:hint="eastAsia" w:ascii="宋体" w:hAnsi="宋体" w:cs="MingLiU"/>
          <w:snapToGrid w:val="0"/>
          <w:color w:val="auto"/>
          <w:kern w:val="0"/>
          <w:szCs w:val="21"/>
          <w:highlight w:val="none"/>
        </w:rPr>
        <w:t>年</w:t>
      </w:r>
      <w:r>
        <w:rPr>
          <w:rFonts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月</w:t>
      </w:r>
      <w:r>
        <w:rPr>
          <w:rFonts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日</w:t>
      </w:r>
    </w:p>
    <w:p>
      <w:pPr>
        <w:snapToGrid w:val="0"/>
        <w:spacing w:line="360" w:lineRule="auto"/>
        <w:rPr>
          <w:rFonts w:hint="eastAsia" w:ascii="宋体" w:hAnsi="宋体" w:cs="仿宋_GB2312"/>
          <w:snapToGrid w:val="0"/>
          <w:color w:val="auto"/>
          <w:w w:val="99"/>
          <w:highlight w:val="none"/>
        </w:rPr>
      </w:pPr>
    </w:p>
    <w:p>
      <w:pPr>
        <w:pStyle w:val="2"/>
        <w:rPr>
          <w:rFonts w:hint="eastAsia" w:ascii="宋体" w:hAnsi="宋体" w:cs="仿宋_GB2312"/>
          <w:snapToGrid w:val="0"/>
          <w:color w:val="auto"/>
          <w:w w:val="99"/>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5"/>
        <w:spacing w:line="360" w:lineRule="auto"/>
        <w:jc w:val="center"/>
        <w:outlineLvl w:val="0"/>
        <w:rPr>
          <w:rFonts w:hint="eastAsia" w:ascii="宋体" w:hAnsi="宋体" w:cs="仿宋_GB2312"/>
          <w:color w:val="auto"/>
          <w:sz w:val="28"/>
          <w:highlight w:val="none"/>
        </w:rPr>
      </w:pPr>
      <w:bookmarkStart w:id="139" w:name="_Toc481740268"/>
      <w:bookmarkStart w:id="140" w:name="_Toc15389"/>
      <w:bookmarkStart w:id="141" w:name="_Toc460968368"/>
      <w:bookmarkStart w:id="142" w:name="_Toc461110797"/>
      <w:bookmarkStart w:id="143" w:name="_Toc21717"/>
      <w:bookmarkStart w:id="144" w:name="_Toc4540"/>
      <w:bookmarkStart w:id="145" w:name="_Toc461010231"/>
      <w:bookmarkStart w:id="146" w:name="_Toc277082644"/>
      <w:bookmarkStart w:id="147" w:name="_Toc287607868"/>
      <w:r>
        <w:rPr>
          <w:rFonts w:hint="eastAsia" w:ascii="宋体" w:hAnsi="宋体" w:cs="仿宋_GB2312"/>
          <w:b w:val="0"/>
          <w:color w:val="auto"/>
          <w:sz w:val="28"/>
          <w:highlight w:val="none"/>
        </w:rPr>
        <w:t>（二）</w:t>
      </w:r>
      <w:bookmarkEnd w:id="138"/>
      <w:bookmarkEnd w:id="139"/>
      <w:bookmarkEnd w:id="140"/>
      <w:bookmarkEnd w:id="141"/>
      <w:bookmarkEnd w:id="142"/>
      <w:bookmarkEnd w:id="143"/>
      <w:bookmarkEnd w:id="144"/>
      <w:bookmarkEnd w:id="145"/>
      <w:bookmarkEnd w:id="146"/>
      <w:bookmarkEnd w:id="147"/>
      <w:bookmarkStart w:id="148" w:name="_Toc30327"/>
      <w:bookmarkStart w:id="149" w:name="_Toc18542"/>
      <w:bookmarkStart w:id="150" w:name="_Toc460968369"/>
      <w:bookmarkStart w:id="151" w:name="_Toc461110798"/>
      <w:bookmarkStart w:id="152" w:name="_Toc224103497"/>
      <w:bookmarkStart w:id="153" w:name="_Toc277082645"/>
      <w:bookmarkStart w:id="154" w:name="_Toc287607869"/>
      <w:bookmarkStart w:id="155" w:name="_Toc16474"/>
      <w:bookmarkStart w:id="156" w:name="_Toc481740269"/>
      <w:bookmarkStart w:id="157" w:name="_Toc461010232"/>
      <w:r>
        <w:rPr>
          <w:rFonts w:hint="eastAsia" w:ascii="宋体" w:hAnsi="宋体" w:cs="仿宋_GB2312"/>
          <w:b w:val="0"/>
          <w:color w:val="auto"/>
          <w:sz w:val="28"/>
          <w:highlight w:val="none"/>
        </w:rPr>
        <w:t xml:space="preserve"> 法定代表人身份证明及授权委托书</w:t>
      </w:r>
      <w:bookmarkEnd w:id="148"/>
      <w:bookmarkEnd w:id="149"/>
      <w:bookmarkEnd w:id="150"/>
      <w:bookmarkEnd w:id="151"/>
      <w:bookmarkEnd w:id="152"/>
      <w:bookmarkEnd w:id="153"/>
      <w:bookmarkEnd w:id="154"/>
      <w:bookmarkEnd w:id="155"/>
      <w:bookmarkEnd w:id="156"/>
      <w:bookmarkEnd w:id="157"/>
    </w:p>
    <w:p>
      <w:pPr>
        <w:spacing w:line="360" w:lineRule="auto"/>
        <w:jc w:val="center"/>
        <w:rPr>
          <w:rFonts w:hint="eastAsia" w:ascii="宋体" w:hAnsi="宋体" w:cs="仿宋_GB2312"/>
          <w:color w:val="auto"/>
          <w:highlight w:val="none"/>
        </w:rPr>
      </w:pPr>
      <w:r>
        <w:rPr>
          <w:rFonts w:hint="eastAsia" w:ascii="宋体" w:hAnsi="宋体" w:cs="仿宋_GB2312"/>
          <w:color w:val="auto"/>
          <w:sz w:val="28"/>
          <w:highlight w:val="none"/>
        </w:rPr>
        <w:t>法定代表人身份证明</w:t>
      </w:r>
    </w:p>
    <w:p>
      <w:pPr>
        <w:spacing w:line="360" w:lineRule="auto"/>
        <w:ind w:left="765"/>
        <w:rPr>
          <w:rFonts w:hint="eastAsia" w:ascii="宋体" w:hAnsi="宋体" w:cs="仿宋_GB2312"/>
          <w:color w:val="auto"/>
          <w:highlight w:val="none"/>
        </w:rPr>
      </w:pPr>
    </w:p>
    <w:p>
      <w:pPr>
        <w:tabs>
          <w:tab w:val="left" w:pos="5565"/>
        </w:tabs>
        <w:autoSpaceDE w:val="0"/>
        <w:autoSpaceDN w:val="0"/>
        <w:adjustRightInd w:val="0"/>
        <w:snapToGrid w:val="0"/>
        <w:spacing w:line="360" w:lineRule="auto"/>
        <w:ind w:firstLine="390" w:firstLineChars="186"/>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投标人名称：</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p>
    <w:p>
      <w:pPr>
        <w:autoSpaceDE w:val="0"/>
        <w:autoSpaceDN w:val="0"/>
        <w:adjustRightInd w:val="0"/>
        <w:snapToGrid w:val="0"/>
        <w:spacing w:line="360" w:lineRule="auto"/>
        <w:ind w:firstLine="372" w:firstLineChars="186"/>
        <w:jc w:val="left"/>
        <w:rPr>
          <w:rFonts w:hint="eastAsia" w:ascii="宋体" w:hAnsi="宋体" w:cs="仿宋_GB2312"/>
          <w:color w:val="auto"/>
          <w:kern w:val="0"/>
          <w:sz w:val="20"/>
          <w:szCs w:val="20"/>
          <w:highlight w:val="none"/>
        </w:rPr>
      </w:pPr>
    </w:p>
    <w:p>
      <w:pPr>
        <w:tabs>
          <w:tab w:val="left" w:pos="5475"/>
        </w:tabs>
        <w:autoSpaceDE w:val="0"/>
        <w:autoSpaceDN w:val="0"/>
        <w:adjustRightInd w:val="0"/>
        <w:snapToGrid w:val="0"/>
        <w:spacing w:line="360" w:lineRule="auto"/>
        <w:ind w:firstLine="390" w:firstLineChars="186"/>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单位性质：</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p>
    <w:p>
      <w:pPr>
        <w:autoSpaceDE w:val="0"/>
        <w:autoSpaceDN w:val="0"/>
        <w:adjustRightInd w:val="0"/>
        <w:snapToGrid w:val="0"/>
        <w:spacing w:line="360" w:lineRule="auto"/>
        <w:ind w:firstLine="372" w:firstLineChars="186"/>
        <w:jc w:val="left"/>
        <w:rPr>
          <w:rFonts w:hint="eastAsia" w:ascii="宋体" w:hAnsi="宋体" w:cs="仿宋_GB2312"/>
          <w:color w:val="auto"/>
          <w:kern w:val="0"/>
          <w:sz w:val="20"/>
          <w:szCs w:val="20"/>
          <w:highlight w:val="none"/>
        </w:rPr>
      </w:pPr>
    </w:p>
    <w:p>
      <w:pPr>
        <w:tabs>
          <w:tab w:val="left" w:pos="5475"/>
        </w:tabs>
        <w:autoSpaceDE w:val="0"/>
        <w:autoSpaceDN w:val="0"/>
        <w:adjustRightInd w:val="0"/>
        <w:snapToGrid w:val="0"/>
        <w:spacing w:line="360" w:lineRule="auto"/>
        <w:ind w:firstLine="390" w:firstLineChars="186"/>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地址：</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p>
    <w:p>
      <w:pPr>
        <w:autoSpaceDE w:val="0"/>
        <w:autoSpaceDN w:val="0"/>
        <w:adjustRightInd w:val="0"/>
        <w:snapToGrid w:val="0"/>
        <w:spacing w:line="360" w:lineRule="auto"/>
        <w:ind w:firstLine="372" w:firstLineChars="186"/>
        <w:jc w:val="left"/>
        <w:rPr>
          <w:rFonts w:hint="eastAsia" w:ascii="宋体" w:hAnsi="宋体" w:cs="仿宋_GB2312"/>
          <w:color w:val="auto"/>
          <w:kern w:val="0"/>
          <w:sz w:val="20"/>
          <w:szCs w:val="20"/>
          <w:highlight w:val="none"/>
        </w:rPr>
      </w:pP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成立时间：</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 xml:space="preserve"> </w:t>
      </w:r>
      <w:r>
        <w:rPr>
          <w:rFonts w:hint="eastAsia" w:ascii="宋体" w:hAnsi="宋体" w:cs="仿宋_GB2312"/>
          <w:color w:val="auto"/>
          <w:spacing w:val="-1"/>
          <w:kern w:val="0"/>
          <w:szCs w:val="21"/>
          <w:highlight w:val="none"/>
        </w:rPr>
        <w:t>年</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u w:val="single"/>
        </w:rPr>
        <w:t xml:space="preserve"> </w:t>
      </w:r>
      <w:r>
        <w:rPr>
          <w:rFonts w:hint="eastAsia" w:ascii="宋体" w:hAnsi="宋体" w:cs="仿宋_GB2312"/>
          <w:color w:val="auto"/>
          <w:kern w:val="0"/>
          <w:szCs w:val="21"/>
          <w:highlight w:val="none"/>
        </w:rPr>
        <w:t xml:space="preserve"> </w:t>
      </w:r>
      <w:r>
        <w:rPr>
          <w:rFonts w:hint="eastAsia" w:ascii="宋体" w:hAnsi="宋体" w:cs="仿宋_GB2312"/>
          <w:color w:val="auto"/>
          <w:spacing w:val="-1"/>
          <w:kern w:val="0"/>
          <w:szCs w:val="21"/>
          <w:highlight w:val="none"/>
        </w:rPr>
        <w:t>月</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 xml:space="preserve">         </w:t>
      </w:r>
      <w:r>
        <w:rPr>
          <w:rFonts w:hint="eastAsia" w:ascii="宋体" w:hAnsi="宋体" w:cs="仿宋_GB2312"/>
          <w:color w:val="auto"/>
          <w:kern w:val="0"/>
          <w:szCs w:val="21"/>
          <w:highlight w:val="none"/>
        </w:rPr>
        <w:t>日</w:t>
      </w:r>
    </w:p>
    <w:p>
      <w:pPr>
        <w:autoSpaceDE w:val="0"/>
        <w:autoSpaceDN w:val="0"/>
        <w:adjustRightInd w:val="0"/>
        <w:snapToGrid w:val="0"/>
        <w:spacing w:line="360" w:lineRule="auto"/>
        <w:ind w:firstLine="186" w:firstLineChars="186"/>
        <w:jc w:val="left"/>
        <w:rPr>
          <w:rFonts w:hint="eastAsia" w:ascii="宋体" w:hAnsi="宋体" w:cs="仿宋_GB2312"/>
          <w:color w:val="auto"/>
          <w:kern w:val="0"/>
          <w:sz w:val="10"/>
          <w:szCs w:val="10"/>
          <w:highlight w:val="none"/>
        </w:rPr>
      </w:pPr>
    </w:p>
    <w:p>
      <w:pPr>
        <w:tabs>
          <w:tab w:val="left" w:pos="5475"/>
        </w:tabs>
        <w:autoSpaceDE w:val="0"/>
        <w:autoSpaceDN w:val="0"/>
        <w:adjustRightInd w:val="0"/>
        <w:snapToGrid w:val="0"/>
        <w:spacing w:line="360" w:lineRule="auto"/>
        <w:ind w:firstLine="390" w:firstLineChars="186"/>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经营期限：</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p>
    <w:p>
      <w:pPr>
        <w:autoSpaceDE w:val="0"/>
        <w:autoSpaceDN w:val="0"/>
        <w:adjustRightInd w:val="0"/>
        <w:snapToGrid w:val="0"/>
        <w:spacing w:line="360" w:lineRule="auto"/>
        <w:ind w:firstLine="372" w:firstLineChars="186"/>
        <w:jc w:val="left"/>
        <w:rPr>
          <w:rFonts w:hint="eastAsia" w:ascii="宋体" w:hAnsi="宋体" w:cs="仿宋_GB2312"/>
          <w:color w:val="auto"/>
          <w:kern w:val="0"/>
          <w:sz w:val="20"/>
          <w:szCs w:val="20"/>
          <w:highlight w:val="none"/>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姓名：</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 xml:space="preserve"> 性别</w:t>
      </w:r>
      <w:r>
        <w:rPr>
          <w:rFonts w:hint="eastAsia" w:ascii="宋体" w:hAnsi="宋体" w:cs="仿宋_GB2312"/>
          <w:color w:val="auto"/>
          <w:spacing w:val="-1"/>
          <w:kern w:val="0"/>
          <w:szCs w:val="21"/>
          <w:highlight w:val="none"/>
        </w:rPr>
        <w:t>：</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 xml:space="preserve"> </w:t>
      </w:r>
      <w:r>
        <w:rPr>
          <w:rFonts w:hint="eastAsia" w:ascii="宋体" w:hAnsi="宋体" w:cs="仿宋_GB2312"/>
          <w:color w:val="auto"/>
          <w:spacing w:val="-1"/>
          <w:kern w:val="0"/>
          <w:szCs w:val="21"/>
          <w:highlight w:val="none"/>
        </w:rPr>
        <w:t>年</w:t>
      </w:r>
      <w:r>
        <w:rPr>
          <w:rFonts w:hint="eastAsia" w:ascii="宋体" w:hAnsi="宋体" w:cs="仿宋_GB2312"/>
          <w:color w:val="auto"/>
          <w:kern w:val="0"/>
          <w:szCs w:val="21"/>
          <w:highlight w:val="none"/>
        </w:rPr>
        <w:t>龄：</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职务：</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p>
    <w:p>
      <w:pPr>
        <w:autoSpaceDE w:val="0"/>
        <w:autoSpaceDN w:val="0"/>
        <w:adjustRightInd w:val="0"/>
        <w:snapToGrid w:val="0"/>
        <w:spacing w:line="360" w:lineRule="auto"/>
        <w:ind w:firstLine="372" w:firstLineChars="186"/>
        <w:jc w:val="left"/>
        <w:rPr>
          <w:rFonts w:hint="eastAsia" w:ascii="宋体" w:hAnsi="宋体" w:cs="仿宋_GB2312"/>
          <w:color w:val="auto"/>
          <w:kern w:val="0"/>
          <w:sz w:val="20"/>
          <w:szCs w:val="20"/>
          <w:highlight w:val="none"/>
        </w:rPr>
      </w:pPr>
    </w:p>
    <w:p>
      <w:pPr>
        <w:tabs>
          <w:tab w:val="left" w:pos="3360"/>
        </w:tabs>
        <w:autoSpaceDE w:val="0"/>
        <w:autoSpaceDN w:val="0"/>
        <w:adjustRightInd w:val="0"/>
        <w:snapToGrid w:val="0"/>
        <w:spacing w:line="360" w:lineRule="auto"/>
        <w:ind w:firstLine="390" w:firstLineChars="186"/>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系</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 xml:space="preserve"> （投标人名称）的法定代表人。</w:t>
      </w:r>
    </w:p>
    <w:p>
      <w:pPr>
        <w:autoSpaceDE w:val="0"/>
        <w:autoSpaceDN w:val="0"/>
        <w:adjustRightInd w:val="0"/>
        <w:snapToGrid w:val="0"/>
        <w:spacing w:line="360" w:lineRule="auto"/>
        <w:ind w:firstLine="186" w:firstLineChars="186"/>
        <w:jc w:val="left"/>
        <w:rPr>
          <w:rFonts w:hint="eastAsia" w:ascii="宋体" w:hAnsi="宋体" w:cs="仿宋_GB2312"/>
          <w:color w:val="auto"/>
          <w:kern w:val="0"/>
          <w:sz w:val="10"/>
          <w:szCs w:val="10"/>
          <w:highlight w:val="none"/>
        </w:rPr>
      </w:pPr>
    </w:p>
    <w:p>
      <w:pPr>
        <w:autoSpaceDE w:val="0"/>
        <w:autoSpaceDN w:val="0"/>
        <w:adjustRightInd w:val="0"/>
        <w:snapToGrid w:val="0"/>
        <w:spacing w:line="360" w:lineRule="auto"/>
        <w:ind w:firstLine="810" w:firstLineChars="386"/>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特此证明。</w:t>
      </w:r>
    </w:p>
    <w:p>
      <w:pPr>
        <w:autoSpaceDE w:val="0"/>
        <w:autoSpaceDN w:val="0"/>
        <w:adjustRightInd w:val="0"/>
        <w:snapToGrid w:val="0"/>
        <w:spacing w:line="360" w:lineRule="auto"/>
        <w:jc w:val="left"/>
        <w:rPr>
          <w:rFonts w:hint="eastAsia" w:ascii="宋体" w:hAnsi="宋体" w:cs="仿宋_GB2312"/>
          <w:color w:val="auto"/>
          <w:kern w:val="0"/>
          <w:sz w:val="18"/>
          <w:szCs w:val="18"/>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附：法定代表人身份证明扫描件（双面）</w:t>
      </w: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pStyle w:val="2"/>
        <w:rPr>
          <w:rFonts w:hint="eastAsia" w:ascii="宋体" w:hAnsi="宋体" w:cs="仿宋_GB2312"/>
          <w:color w:val="auto"/>
          <w:kern w:val="0"/>
          <w:sz w:val="20"/>
          <w:szCs w:val="20"/>
          <w:highlight w:val="none"/>
        </w:rPr>
      </w:pPr>
    </w:p>
    <w:p>
      <w:pPr>
        <w:rPr>
          <w:rFonts w:hint="eastAsia" w:ascii="宋体" w:hAnsi="宋体" w:cs="仿宋_GB2312"/>
          <w:color w:val="auto"/>
          <w:kern w:val="0"/>
          <w:sz w:val="20"/>
          <w:szCs w:val="20"/>
          <w:highlight w:val="none"/>
        </w:rPr>
      </w:pPr>
    </w:p>
    <w:p>
      <w:pPr>
        <w:pStyle w:val="2"/>
        <w:rPr>
          <w:rFonts w:hint="eastAsia"/>
          <w:color w:val="auto"/>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tabs>
          <w:tab w:val="left" w:pos="5460"/>
        </w:tabs>
        <w:autoSpaceDE w:val="0"/>
        <w:autoSpaceDN w:val="0"/>
        <w:adjustRightInd w:val="0"/>
        <w:snapToGrid w:val="0"/>
        <w:spacing w:line="360" w:lineRule="auto"/>
        <w:ind w:firstLine="2100"/>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投标</w:t>
      </w:r>
      <w:r>
        <w:rPr>
          <w:rFonts w:hint="eastAsia" w:ascii="宋体" w:hAnsi="宋体" w:cs="仿宋_GB2312"/>
          <w:color w:val="auto"/>
          <w:spacing w:val="-1"/>
          <w:kern w:val="0"/>
          <w:szCs w:val="21"/>
          <w:highlight w:val="none"/>
        </w:rPr>
        <w:t>人</w:t>
      </w:r>
      <w:r>
        <w:rPr>
          <w:rFonts w:hint="eastAsia" w:ascii="宋体" w:hAnsi="宋体" w:cs="仿宋_GB2312"/>
          <w:color w:val="auto"/>
          <w:kern w:val="0"/>
          <w:szCs w:val="21"/>
          <w:highlight w:val="none"/>
        </w:rPr>
        <w:t>：</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spacing w:val="-1"/>
          <w:kern w:val="0"/>
          <w:szCs w:val="21"/>
          <w:highlight w:val="none"/>
        </w:rPr>
        <w:t>（</w:t>
      </w:r>
      <w:r>
        <w:rPr>
          <w:rFonts w:hint="eastAsia" w:ascii="宋体" w:hAnsi="宋体" w:cs="仿宋_GB2312"/>
          <w:color w:val="auto"/>
          <w:kern w:val="0"/>
          <w:szCs w:val="21"/>
          <w:highlight w:val="none"/>
        </w:rPr>
        <w:t>盖单位章）</w:t>
      </w: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仿宋_GB2312"/>
          <w:color w:val="auto"/>
          <w:kern w:val="0"/>
          <w:szCs w:val="21"/>
          <w:highlight w:val="none"/>
        </w:rPr>
      </w:pP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spacing w:val="-1"/>
          <w:kern w:val="0"/>
          <w:szCs w:val="21"/>
          <w:highlight w:val="none"/>
        </w:rPr>
        <w:t>年</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rPr>
        <w:t>月</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rPr>
        <w:t>日</w:t>
      </w: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仿宋_GB2312"/>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仿宋_GB2312"/>
          <w:color w:val="auto"/>
          <w:kern w:val="0"/>
          <w:sz w:val="28"/>
          <w:szCs w:val="28"/>
          <w:highlight w:val="none"/>
        </w:rPr>
      </w:pPr>
      <w:r>
        <w:rPr>
          <w:rFonts w:hint="eastAsia" w:ascii="宋体" w:hAnsi="宋体" w:cs="仿宋_GB2312"/>
          <w:color w:val="auto"/>
          <w:kern w:val="0"/>
          <w:sz w:val="28"/>
          <w:szCs w:val="28"/>
          <w:highlight w:val="none"/>
        </w:rPr>
        <w:t>授权委托书</w:t>
      </w:r>
    </w:p>
    <w:p>
      <w:pPr>
        <w:autoSpaceDE w:val="0"/>
        <w:autoSpaceDN w:val="0"/>
        <w:adjustRightInd w:val="0"/>
        <w:snapToGrid w:val="0"/>
        <w:spacing w:line="360" w:lineRule="auto"/>
        <w:jc w:val="left"/>
        <w:rPr>
          <w:rFonts w:hint="eastAsia" w:ascii="宋体" w:hAnsi="宋体" w:cs="仿宋_GB2312"/>
          <w:color w:val="auto"/>
          <w:kern w:val="0"/>
          <w:sz w:val="12"/>
          <w:szCs w:val="12"/>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本人</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（姓名）系</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w:t>
      </w:r>
      <w:r>
        <w:rPr>
          <w:rFonts w:hint="eastAsia" w:ascii="宋体" w:hAnsi="宋体" w:cs="仿宋_GB2312"/>
          <w:color w:val="auto"/>
          <w:spacing w:val="-1"/>
          <w:kern w:val="0"/>
          <w:szCs w:val="21"/>
          <w:highlight w:val="none"/>
        </w:rPr>
        <w:t>投</w:t>
      </w:r>
      <w:r>
        <w:rPr>
          <w:rFonts w:hint="eastAsia" w:ascii="宋体" w:hAnsi="宋体" w:cs="仿宋_GB2312"/>
          <w:color w:val="auto"/>
          <w:kern w:val="0"/>
          <w:szCs w:val="21"/>
          <w:highlight w:val="none"/>
        </w:rPr>
        <w:t>标人名称</w:t>
      </w:r>
      <w:r>
        <w:rPr>
          <w:rFonts w:hint="eastAsia" w:ascii="宋体" w:hAnsi="宋体" w:cs="仿宋_GB2312"/>
          <w:color w:val="auto"/>
          <w:spacing w:val="1"/>
          <w:kern w:val="0"/>
          <w:szCs w:val="21"/>
          <w:highlight w:val="none"/>
        </w:rPr>
        <w:t>）</w:t>
      </w:r>
      <w:r>
        <w:rPr>
          <w:rFonts w:hint="eastAsia" w:ascii="宋体" w:hAnsi="宋体" w:cs="仿宋_GB2312"/>
          <w:color w:val="auto"/>
          <w:kern w:val="0"/>
          <w:szCs w:val="21"/>
          <w:highlight w:val="none"/>
        </w:rPr>
        <w:t>的法定代</w:t>
      </w:r>
      <w:r>
        <w:rPr>
          <w:rFonts w:hint="eastAsia" w:ascii="宋体" w:hAnsi="宋体" w:cs="仿宋_GB2312"/>
          <w:color w:val="auto"/>
          <w:spacing w:val="1"/>
          <w:kern w:val="0"/>
          <w:szCs w:val="21"/>
          <w:highlight w:val="none"/>
        </w:rPr>
        <w:t>表</w:t>
      </w:r>
      <w:r>
        <w:rPr>
          <w:rFonts w:hint="eastAsia" w:ascii="宋体" w:hAnsi="宋体" w:cs="仿宋_GB2312"/>
          <w:color w:val="auto"/>
          <w:kern w:val="0"/>
          <w:szCs w:val="21"/>
          <w:highlight w:val="none"/>
        </w:rPr>
        <w:t>人，现委托</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w w:val="200"/>
          <w:kern w:val="0"/>
          <w:szCs w:val="21"/>
          <w:highlight w:val="none"/>
          <w:u w:val="single"/>
          <w:lang w:val="en-US" w:eastAsia="zh-CN"/>
        </w:rPr>
        <w:t xml:space="preserve">  </w:t>
      </w:r>
      <w:r>
        <w:rPr>
          <w:rFonts w:hint="eastAsia" w:ascii="宋体" w:hAnsi="宋体" w:cs="仿宋_GB2312"/>
          <w:color w:val="auto"/>
          <w:kern w:val="0"/>
          <w:szCs w:val="21"/>
          <w:highlight w:val="none"/>
        </w:rPr>
        <w:t>（姓 名）为我方代理人。代理人根据授权，以我方名义签署、澄清、说明、补正、递交、撤回、 修改</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（项</w:t>
      </w:r>
      <w:r>
        <w:rPr>
          <w:rFonts w:hint="eastAsia" w:ascii="宋体" w:hAnsi="宋体" w:cs="仿宋_GB2312"/>
          <w:color w:val="auto"/>
          <w:spacing w:val="-1"/>
          <w:kern w:val="0"/>
          <w:szCs w:val="21"/>
          <w:highlight w:val="none"/>
        </w:rPr>
        <w:t>目</w:t>
      </w:r>
      <w:r>
        <w:rPr>
          <w:rFonts w:hint="eastAsia" w:ascii="宋体" w:hAnsi="宋体" w:cs="仿宋_GB2312"/>
          <w:color w:val="auto"/>
          <w:kern w:val="0"/>
          <w:szCs w:val="21"/>
          <w:highlight w:val="none"/>
        </w:rPr>
        <w:t>名称）</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rPr>
        <w:t>标</w:t>
      </w:r>
      <w:r>
        <w:rPr>
          <w:rFonts w:hint="eastAsia" w:ascii="宋体" w:hAnsi="宋体" w:cs="仿宋_GB2312"/>
          <w:color w:val="auto"/>
          <w:spacing w:val="-1"/>
          <w:kern w:val="0"/>
          <w:szCs w:val="21"/>
          <w:highlight w:val="none"/>
        </w:rPr>
        <w:t>段</w:t>
      </w:r>
      <w:r>
        <w:rPr>
          <w:rFonts w:hint="eastAsia" w:ascii="宋体" w:hAnsi="宋体" w:cs="仿宋_GB2312"/>
          <w:color w:val="auto"/>
          <w:kern w:val="0"/>
          <w:szCs w:val="21"/>
          <w:highlight w:val="none"/>
        </w:rPr>
        <w:t>施工投标文件、签订合同和处理有关事宜，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委托</w:t>
      </w:r>
      <w:r>
        <w:rPr>
          <w:rFonts w:hint="eastAsia" w:ascii="宋体" w:hAnsi="宋体" w:cs="仿宋_GB2312"/>
          <w:color w:val="auto"/>
          <w:spacing w:val="-1"/>
          <w:kern w:val="0"/>
          <w:szCs w:val="21"/>
          <w:highlight w:val="none"/>
        </w:rPr>
        <w:t>期</w:t>
      </w:r>
      <w:r>
        <w:rPr>
          <w:rFonts w:hint="eastAsia" w:ascii="宋体" w:hAnsi="宋体" w:cs="仿宋_GB2312"/>
          <w:color w:val="auto"/>
          <w:kern w:val="0"/>
          <w:szCs w:val="21"/>
          <w:highlight w:val="none"/>
        </w:rPr>
        <w:t>限：</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附：</w:t>
      </w:r>
      <w:r>
        <w:rPr>
          <w:rFonts w:hint="eastAsia" w:ascii="宋体" w:hAnsi="宋体" w:cs="仿宋_GB2312"/>
          <w:color w:val="auto"/>
          <w:kern w:val="0"/>
          <w:szCs w:val="21"/>
          <w:highlight w:val="none"/>
          <w:lang w:eastAsia="zh-CN"/>
        </w:rPr>
        <w:t>法定</w:t>
      </w:r>
      <w:r>
        <w:rPr>
          <w:rFonts w:hint="eastAsia" w:ascii="宋体" w:hAnsi="宋体" w:cs="仿宋_GB2312"/>
          <w:color w:val="auto"/>
          <w:kern w:val="0"/>
          <w:szCs w:val="21"/>
          <w:highlight w:val="none"/>
        </w:rPr>
        <w:t>代</w:t>
      </w:r>
      <w:r>
        <w:rPr>
          <w:rFonts w:hint="eastAsia" w:ascii="宋体" w:hAnsi="宋体" w:cs="仿宋_GB2312"/>
          <w:color w:val="auto"/>
          <w:kern w:val="0"/>
          <w:szCs w:val="21"/>
          <w:highlight w:val="none"/>
          <w:lang w:eastAsia="zh-CN"/>
        </w:rPr>
        <w:t>表</w:t>
      </w:r>
      <w:r>
        <w:rPr>
          <w:rFonts w:hint="eastAsia" w:ascii="宋体" w:hAnsi="宋体" w:cs="仿宋_GB2312"/>
          <w:color w:val="auto"/>
          <w:kern w:val="0"/>
          <w:szCs w:val="21"/>
          <w:highlight w:val="none"/>
        </w:rPr>
        <w:t>人</w:t>
      </w:r>
      <w:r>
        <w:rPr>
          <w:rFonts w:hint="eastAsia" w:ascii="宋体" w:hAnsi="宋体" w:cs="仿宋_GB2312"/>
          <w:color w:val="auto"/>
          <w:kern w:val="0"/>
          <w:szCs w:val="21"/>
          <w:highlight w:val="none"/>
          <w:lang w:eastAsia="zh-CN"/>
        </w:rPr>
        <w:t>及委托代理人</w:t>
      </w:r>
      <w:r>
        <w:rPr>
          <w:rFonts w:hint="eastAsia" w:ascii="宋体" w:hAnsi="宋体" w:cs="仿宋_GB2312"/>
          <w:color w:val="auto"/>
          <w:kern w:val="0"/>
          <w:szCs w:val="21"/>
          <w:highlight w:val="none"/>
        </w:rPr>
        <w:t>身份证明扫描件（双面）</w:t>
      </w:r>
    </w:p>
    <w:p>
      <w:pPr>
        <w:autoSpaceDE w:val="0"/>
        <w:autoSpaceDN w:val="0"/>
        <w:adjustRightInd w:val="0"/>
        <w:snapToGrid w:val="0"/>
        <w:spacing w:line="360" w:lineRule="auto"/>
        <w:jc w:val="left"/>
        <w:rPr>
          <w:rFonts w:hint="eastAsia" w:ascii="宋体" w:hAnsi="宋体" w:cs="仿宋_GB2312"/>
          <w:color w:val="auto"/>
          <w:kern w:val="0"/>
          <w:sz w:val="12"/>
          <w:szCs w:val="12"/>
          <w:highlight w:val="none"/>
        </w:rPr>
      </w:pPr>
    </w:p>
    <w:p>
      <w:pPr>
        <w:pStyle w:val="2"/>
        <w:rPr>
          <w:rFonts w:hint="eastAsia" w:ascii="宋体" w:hAnsi="宋体" w:cs="仿宋_GB2312"/>
          <w:color w:val="auto"/>
          <w:kern w:val="0"/>
          <w:sz w:val="12"/>
          <w:szCs w:val="12"/>
          <w:highlight w:val="none"/>
        </w:rPr>
      </w:pPr>
    </w:p>
    <w:p>
      <w:pPr>
        <w:rPr>
          <w:rFonts w:hint="eastAsia"/>
          <w:color w:val="auto"/>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tabs>
          <w:tab w:val="left" w:pos="4200"/>
          <w:tab w:val="left" w:pos="4620"/>
        </w:tabs>
        <w:autoSpaceDE w:val="0"/>
        <w:autoSpaceDN w:val="0"/>
        <w:adjustRightInd w:val="0"/>
        <w:snapToGrid w:val="0"/>
        <w:spacing w:line="360" w:lineRule="auto"/>
        <w:ind w:firstLine="1694"/>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投  标  人：</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u w:val="single"/>
        </w:rPr>
        <w:t xml:space="preserve">    </w:t>
      </w:r>
      <w:r>
        <w:rPr>
          <w:rFonts w:hint="eastAsia" w:ascii="宋体" w:hAnsi="宋体" w:cs="仿宋_GB2312"/>
          <w:color w:val="auto"/>
          <w:kern w:val="0"/>
          <w:szCs w:val="21"/>
          <w:highlight w:val="none"/>
        </w:rPr>
        <w:t>（</w:t>
      </w:r>
      <w:r>
        <w:rPr>
          <w:rFonts w:hint="eastAsia" w:ascii="宋体" w:hAnsi="宋体" w:cs="仿宋_GB2312"/>
          <w:color w:val="auto"/>
          <w:spacing w:val="-1"/>
          <w:kern w:val="0"/>
          <w:szCs w:val="21"/>
          <w:highlight w:val="none"/>
        </w:rPr>
        <w:t>盖</w:t>
      </w:r>
      <w:r>
        <w:rPr>
          <w:rFonts w:hint="eastAsia" w:ascii="宋体" w:hAnsi="宋体" w:cs="仿宋_GB2312"/>
          <w:color w:val="auto"/>
          <w:kern w:val="0"/>
          <w:szCs w:val="21"/>
          <w:highlight w:val="none"/>
        </w:rPr>
        <w:t xml:space="preserve">单位章） </w:t>
      </w:r>
    </w:p>
    <w:p>
      <w:pPr>
        <w:tabs>
          <w:tab w:val="left" w:pos="6300"/>
        </w:tabs>
        <w:autoSpaceDE w:val="0"/>
        <w:autoSpaceDN w:val="0"/>
        <w:adjustRightInd w:val="0"/>
        <w:snapToGrid w:val="0"/>
        <w:spacing w:line="360" w:lineRule="auto"/>
        <w:ind w:firstLine="1680"/>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法定代表人：</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（签字</w:t>
      </w:r>
      <w:r>
        <w:rPr>
          <w:rFonts w:hint="eastAsia" w:ascii="宋体" w:hAnsi="宋体" w:cs="仿宋_GB2312"/>
          <w:color w:val="auto"/>
          <w:kern w:val="0"/>
          <w:szCs w:val="21"/>
          <w:highlight w:val="none"/>
          <w:lang w:eastAsia="zh-CN"/>
        </w:rPr>
        <w:t>或盖章</w:t>
      </w:r>
      <w:r>
        <w:rPr>
          <w:rFonts w:hint="eastAsia" w:ascii="宋体" w:hAnsi="宋体" w:cs="仿宋_GB2312"/>
          <w:color w:val="auto"/>
          <w:kern w:val="0"/>
          <w:szCs w:val="21"/>
          <w:highlight w:val="none"/>
        </w:rPr>
        <w:t>）</w:t>
      </w:r>
    </w:p>
    <w:p>
      <w:pPr>
        <w:tabs>
          <w:tab w:val="left" w:pos="5260"/>
        </w:tabs>
        <w:autoSpaceDE w:val="0"/>
        <w:autoSpaceDN w:val="0"/>
        <w:adjustRightInd w:val="0"/>
        <w:snapToGrid w:val="0"/>
        <w:spacing w:line="360" w:lineRule="auto"/>
        <w:ind w:firstLine="1680"/>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身份证号码：</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p>
    <w:p>
      <w:pPr>
        <w:tabs>
          <w:tab w:val="left" w:pos="6720"/>
        </w:tabs>
        <w:autoSpaceDE w:val="0"/>
        <w:autoSpaceDN w:val="0"/>
        <w:adjustRightInd w:val="0"/>
        <w:snapToGrid w:val="0"/>
        <w:spacing w:line="360" w:lineRule="auto"/>
        <w:ind w:firstLine="1680"/>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委托代理人：</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（签</w:t>
      </w:r>
      <w:r>
        <w:rPr>
          <w:rFonts w:hint="eastAsia" w:ascii="宋体" w:hAnsi="宋体" w:cs="仿宋_GB2312"/>
          <w:color w:val="auto"/>
          <w:spacing w:val="-1"/>
          <w:kern w:val="0"/>
          <w:szCs w:val="21"/>
          <w:highlight w:val="none"/>
        </w:rPr>
        <w:t>字</w:t>
      </w:r>
      <w:r>
        <w:rPr>
          <w:rFonts w:hint="eastAsia" w:ascii="宋体" w:hAnsi="宋体" w:cs="仿宋_GB2312"/>
          <w:color w:val="auto"/>
          <w:kern w:val="0"/>
          <w:szCs w:val="21"/>
          <w:highlight w:val="none"/>
        </w:rPr>
        <w:t>）</w:t>
      </w:r>
    </w:p>
    <w:p>
      <w:pPr>
        <w:tabs>
          <w:tab w:val="left" w:pos="6825"/>
        </w:tabs>
        <w:autoSpaceDE w:val="0"/>
        <w:autoSpaceDN w:val="0"/>
        <w:adjustRightInd w:val="0"/>
        <w:snapToGrid w:val="0"/>
        <w:spacing w:line="360" w:lineRule="auto"/>
        <w:ind w:firstLine="1680"/>
        <w:jc w:val="left"/>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身份证号码：</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0"/>
          <w:szCs w:val="20"/>
          <w:highlight w:val="none"/>
        </w:rPr>
      </w:pPr>
    </w:p>
    <w:p>
      <w:pPr>
        <w:autoSpaceDE w:val="0"/>
        <w:autoSpaceDN w:val="0"/>
        <w:adjustRightInd w:val="0"/>
        <w:snapToGrid w:val="0"/>
        <w:spacing w:line="360" w:lineRule="auto"/>
        <w:jc w:val="left"/>
        <w:rPr>
          <w:rFonts w:hint="eastAsia" w:ascii="宋体" w:hAnsi="宋体" w:cs="仿宋_GB2312"/>
          <w:color w:val="auto"/>
          <w:kern w:val="0"/>
          <w:sz w:val="28"/>
          <w:szCs w:val="28"/>
          <w:highlight w:val="none"/>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仿宋_GB2312"/>
          <w:color w:val="auto"/>
          <w:kern w:val="0"/>
          <w:szCs w:val="21"/>
          <w:highlight w:val="none"/>
        </w:rPr>
      </w:pP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年</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月</w:t>
      </w:r>
      <w:r>
        <w:rPr>
          <w:rFonts w:hint="eastAsia" w:ascii="宋体" w:hAnsi="宋体" w:cs="仿宋_GB2312"/>
          <w:color w:val="auto"/>
          <w:w w:val="200"/>
          <w:kern w:val="0"/>
          <w:szCs w:val="21"/>
          <w:highlight w:val="none"/>
          <w:u w:val="single"/>
        </w:rPr>
        <w:t xml:space="preserve"> </w:t>
      </w:r>
      <w:r>
        <w:rPr>
          <w:rFonts w:hint="eastAsia" w:ascii="宋体" w:hAnsi="宋体" w:cs="仿宋_GB2312"/>
          <w:color w:val="auto"/>
          <w:kern w:val="0"/>
          <w:szCs w:val="21"/>
          <w:highlight w:val="none"/>
          <w:u w:val="single"/>
        </w:rPr>
        <w:tab/>
      </w:r>
      <w:r>
        <w:rPr>
          <w:rFonts w:hint="eastAsia" w:ascii="宋体" w:hAnsi="宋体" w:cs="仿宋_GB2312"/>
          <w:color w:val="auto"/>
          <w:kern w:val="0"/>
          <w:szCs w:val="21"/>
          <w:highlight w:val="none"/>
        </w:rPr>
        <w:t>日</w:t>
      </w: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p>
    <w:p>
      <w:pPr>
        <w:autoSpaceDE w:val="0"/>
        <w:autoSpaceDN w:val="0"/>
        <w:adjustRightInd w:val="0"/>
        <w:snapToGrid w:val="0"/>
        <w:spacing w:line="360" w:lineRule="auto"/>
        <w:jc w:val="left"/>
        <w:rPr>
          <w:rFonts w:hint="eastAsia" w:ascii="宋体" w:hAnsi="宋体" w:cs="仿宋_GB2312"/>
          <w:color w:val="auto"/>
          <w:kern w:val="0"/>
          <w:highlight w:val="none"/>
        </w:rPr>
      </w:pPr>
      <w:r>
        <w:rPr>
          <w:rFonts w:hint="eastAsia" w:ascii="宋体" w:hAnsi="宋体" w:cs="仿宋_GB2312"/>
          <w:color w:val="auto"/>
          <w:kern w:val="0"/>
          <w:highlight w:val="none"/>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236220</wp:posOffset>
                </wp:positionV>
                <wp:extent cx="28670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867025"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18.6pt;height:0pt;width:225.75pt;z-index:251659264;mso-width-relative:page;mso-height-relative:page;" filled="f" stroked="t" coordsize="21600,21600" o:gfxdata="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ShoB2QAAAAkBAAAPAAAAAAAAAAEAIAAAACIAAABkcnMvZG93bnJldi54bWxQSwEC&#10;FAAUAAAACACHTuJA7tU5r/MBAADkAwAADgAAAAAAAAABACAAAAAoAQAAZHJzL2Uyb0RvYy54bWxQ&#10;SwUGAAAAAAYABgBZAQAAjQU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60" w:lineRule="auto"/>
        <w:ind w:left="735" w:right="11" w:hanging="735" w:hangingChars="350"/>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numPr>
          <w:ilvl w:val="0"/>
          <w:numId w:val="0"/>
        </w:numPr>
        <w:tabs>
          <w:tab w:val="left" w:pos="5760"/>
        </w:tabs>
        <w:autoSpaceDE w:val="0"/>
        <w:autoSpaceDN w:val="0"/>
        <w:adjustRightInd w:val="0"/>
        <w:spacing w:line="360" w:lineRule="auto"/>
        <w:ind w:leftChars="115" w:right="11" w:rightChars="0" w:firstLine="210" w:firstLineChars="100"/>
        <w:rPr>
          <w:rFonts w:hint="eastAsia" w:ascii="宋体" w:hAnsi="宋体" w:eastAsia="宋体" w:cs="仿宋_GB2312"/>
          <w:b w:val="0"/>
          <w:bCs/>
          <w:color w:val="auto"/>
          <w:sz w:val="28"/>
          <w:highlight w:val="none"/>
        </w:rPr>
      </w:pPr>
      <w:r>
        <w:rPr>
          <w:rFonts w:hint="eastAsia" w:ascii="宋体" w:hAnsi="宋体" w:cs="仿宋_GB2312"/>
          <w:color w:val="auto"/>
          <w:kern w:val="0"/>
          <w:szCs w:val="21"/>
          <w:highlight w:val="none"/>
          <w:lang w:val="en-US" w:eastAsia="zh-CN"/>
        </w:rPr>
        <w:t>2、</w:t>
      </w:r>
      <w:r>
        <w:rPr>
          <w:rFonts w:hint="eastAsia" w:ascii="宋体" w:hAnsi="宋体" w:cs="仿宋_GB2312"/>
          <w:color w:val="auto"/>
          <w:kern w:val="0"/>
          <w:szCs w:val="21"/>
          <w:highlight w:val="none"/>
        </w:rPr>
        <w:t>法定代表人身份证明及授权委托书原件装入投标文件一并递交。另外须准备一份在开标现场出具。</w:t>
      </w:r>
      <w:bookmarkStart w:id="158" w:name="_Toc481740270"/>
      <w:bookmarkStart w:id="159" w:name="_Toc460968370"/>
      <w:bookmarkStart w:id="160" w:name="_Toc16740"/>
      <w:bookmarkStart w:id="161" w:name="_Toc4258"/>
      <w:bookmarkStart w:id="162" w:name="_Toc224103498"/>
      <w:bookmarkStart w:id="163" w:name="_Toc277082646"/>
      <w:bookmarkStart w:id="164" w:name="_Toc287607870"/>
      <w:bookmarkStart w:id="165" w:name="_Toc461110799"/>
      <w:bookmarkStart w:id="166" w:name="_Toc461010233"/>
    </w:p>
    <w:p>
      <w:pPr>
        <w:spacing w:line="500" w:lineRule="exact"/>
        <w:ind w:firstLine="560" w:firstLineChars="200"/>
        <w:jc w:val="center"/>
        <w:rPr>
          <w:rFonts w:hint="eastAsia" w:ascii="宋体" w:hAnsi="宋体" w:eastAsia="宋体" w:cs="仿宋_GB2312"/>
          <w:b w:val="0"/>
          <w:bCs/>
          <w:color w:val="auto"/>
          <w:sz w:val="28"/>
          <w:highlight w:val="none"/>
        </w:rPr>
      </w:pPr>
    </w:p>
    <w:p>
      <w:pPr>
        <w:spacing w:line="500" w:lineRule="exact"/>
        <w:ind w:firstLine="560" w:firstLineChars="200"/>
        <w:jc w:val="center"/>
        <w:rPr>
          <w:rFonts w:hint="eastAsia" w:ascii="宋体" w:hAnsi="宋体" w:eastAsia="宋体" w:cs="仿宋_GB2312"/>
          <w:b w:val="0"/>
          <w:bCs/>
          <w:color w:val="auto"/>
          <w:sz w:val="28"/>
          <w:highlight w:val="none"/>
        </w:rPr>
      </w:pPr>
    </w:p>
    <w:p>
      <w:pPr>
        <w:spacing w:line="500" w:lineRule="exact"/>
        <w:ind w:firstLine="560" w:firstLineChars="200"/>
        <w:jc w:val="center"/>
        <w:rPr>
          <w:rFonts w:hint="eastAsia" w:ascii="宋体" w:hAnsi="宋体"/>
          <w:color w:val="auto"/>
          <w:kern w:val="0"/>
          <w:highlight w:val="none"/>
        </w:rPr>
      </w:pPr>
      <w:r>
        <w:rPr>
          <w:rFonts w:hint="eastAsia" w:ascii="宋体" w:hAnsi="宋体" w:eastAsia="宋体" w:cs="仿宋_GB2312"/>
          <w:b w:val="0"/>
          <w:bCs/>
          <w:color w:val="auto"/>
          <w:sz w:val="28"/>
          <w:highlight w:val="none"/>
        </w:rPr>
        <w:t>（</w:t>
      </w:r>
      <w:r>
        <w:rPr>
          <w:rFonts w:hint="eastAsia" w:ascii="宋体" w:hAnsi="宋体" w:eastAsia="宋体" w:cs="仿宋_GB2312"/>
          <w:b w:val="0"/>
          <w:bCs/>
          <w:color w:val="auto"/>
          <w:sz w:val="28"/>
          <w:highlight w:val="none"/>
          <w:lang w:eastAsia="zh-CN"/>
        </w:rPr>
        <w:t>三</w:t>
      </w:r>
      <w:r>
        <w:rPr>
          <w:rFonts w:hint="eastAsia" w:ascii="宋体" w:hAnsi="宋体" w:eastAsia="宋体" w:cs="仿宋_GB2312"/>
          <w:b w:val="0"/>
          <w:bCs/>
          <w:color w:val="auto"/>
          <w:sz w:val="28"/>
          <w:highlight w:val="none"/>
        </w:rPr>
        <w:t xml:space="preserve">） </w:t>
      </w:r>
      <w:bookmarkEnd w:id="158"/>
      <w:bookmarkEnd w:id="159"/>
      <w:bookmarkEnd w:id="160"/>
      <w:bookmarkEnd w:id="161"/>
      <w:bookmarkEnd w:id="162"/>
      <w:bookmarkEnd w:id="163"/>
      <w:bookmarkEnd w:id="164"/>
      <w:bookmarkEnd w:id="165"/>
      <w:bookmarkEnd w:id="166"/>
      <w:bookmarkStart w:id="167" w:name="_Toc2977"/>
      <w:bookmarkStart w:id="168" w:name="_Toc457890500"/>
      <w:bookmarkStart w:id="169" w:name="_Toc461110805"/>
      <w:bookmarkStart w:id="170" w:name="_Toc461010239"/>
      <w:bookmarkStart w:id="171" w:name="_Toc481740278"/>
      <w:bookmarkStart w:id="172" w:name="_Toc460968376"/>
      <w:bookmarkStart w:id="173" w:name="_Toc10453"/>
      <w:r>
        <w:rPr>
          <w:rFonts w:hint="eastAsia" w:ascii="宋体" w:hAnsi="宋体" w:eastAsia="宋体" w:cs="仿宋_GB2312"/>
          <w:b w:val="0"/>
          <w:bCs/>
          <w:color w:val="auto"/>
          <w:sz w:val="28"/>
          <w:highlight w:val="none"/>
        </w:rPr>
        <w:t>投标人基本情况表</w:t>
      </w:r>
      <w:bookmarkEnd w:id="167"/>
      <w:bookmarkEnd w:id="168"/>
      <w:bookmarkEnd w:id="169"/>
      <w:bookmarkEnd w:id="170"/>
      <w:bookmarkEnd w:id="171"/>
      <w:bookmarkEnd w:id="172"/>
      <w:bookmarkEnd w:id="173"/>
    </w:p>
    <w:tbl>
      <w:tblPr>
        <w:tblStyle w:val="22"/>
        <w:tblpPr w:leftFromText="180" w:rightFromText="180" w:vertAnchor="page" w:horzAnchor="page" w:tblpXSpec="center" w:tblpY="2195"/>
        <w:tblW w:w="0" w:type="auto"/>
        <w:jc w:val="center"/>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1564"/>
      </w:tblGrid>
      <w:tr>
        <w:tblPrEx>
          <w:tblCellMar>
            <w:top w:w="0" w:type="dxa"/>
            <w:left w:w="0" w:type="dxa"/>
            <w:bottom w:w="0" w:type="dxa"/>
            <w:right w:w="0" w:type="dxa"/>
          </w:tblCellMar>
        </w:tblPrEx>
        <w:trPr>
          <w:trHeight w:val="789"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投标人名称</w:t>
            </w:r>
          </w:p>
        </w:tc>
        <w:tc>
          <w:tcPr>
            <w:tcW w:w="741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trHeight w:val="771"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注册地址</w:t>
            </w:r>
          </w:p>
        </w:tc>
        <w:tc>
          <w:tcPr>
            <w:tcW w:w="320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邮政编码</w:t>
            </w:r>
          </w:p>
        </w:tc>
        <w:tc>
          <w:tcPr>
            <w:tcW w:w="291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cantSplit/>
          <w:trHeight w:val="630" w:hRule="exact"/>
          <w:jc w:val="center"/>
        </w:trPr>
        <w:tc>
          <w:tcPr>
            <w:tcW w:w="172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联系方式</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联系人</w:t>
            </w:r>
          </w:p>
        </w:tc>
        <w:tc>
          <w:tcPr>
            <w:tcW w:w="230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电</w:t>
            </w:r>
            <w:r>
              <w:rPr>
                <w:rFonts w:hint="eastAsia" w:ascii="宋体" w:hAnsi="宋体"/>
                <w:color w:val="auto"/>
                <w:kern w:val="0"/>
                <w:szCs w:val="21"/>
                <w:highlight w:val="none"/>
              </w:rPr>
              <w:t xml:space="preserve"> </w:t>
            </w:r>
            <w:r>
              <w:rPr>
                <w:rFonts w:hint="eastAsia" w:ascii="宋体" w:hAnsi="宋体"/>
                <w:color w:val="auto"/>
                <w:spacing w:val="1"/>
                <w:kern w:val="0"/>
                <w:szCs w:val="21"/>
                <w:highlight w:val="none"/>
              </w:rPr>
              <w:t xml:space="preserve"> </w:t>
            </w:r>
            <w:r>
              <w:rPr>
                <w:rFonts w:hint="eastAsia" w:ascii="宋体" w:hAnsi="宋体" w:cs="MingLiU"/>
                <w:color w:val="auto"/>
                <w:kern w:val="0"/>
                <w:szCs w:val="21"/>
                <w:highlight w:val="none"/>
              </w:rPr>
              <w:t>话</w:t>
            </w:r>
          </w:p>
        </w:tc>
        <w:tc>
          <w:tcPr>
            <w:tcW w:w="291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cantSplit/>
          <w:trHeight w:val="618" w:hRule="exact"/>
          <w:jc w:val="center"/>
        </w:trPr>
        <w:tc>
          <w:tcPr>
            <w:tcW w:w="172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tabs>
                <w:tab w:val="left" w:pos="540"/>
              </w:tabs>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传</w:t>
            </w:r>
            <w:r>
              <w:rPr>
                <w:rFonts w:hint="eastAsia" w:ascii="宋体" w:hAnsi="宋体"/>
                <w:color w:val="auto"/>
                <w:kern w:val="0"/>
                <w:szCs w:val="21"/>
                <w:highlight w:val="none"/>
              </w:rPr>
              <w:tab/>
            </w:r>
            <w:r>
              <w:rPr>
                <w:rFonts w:hint="eastAsia" w:ascii="宋体" w:hAnsi="宋体" w:cs="MingLiU"/>
                <w:color w:val="auto"/>
                <w:kern w:val="0"/>
                <w:szCs w:val="21"/>
                <w:highlight w:val="none"/>
              </w:rPr>
              <w:t>真</w:t>
            </w:r>
          </w:p>
        </w:tc>
        <w:tc>
          <w:tcPr>
            <w:tcW w:w="230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网</w:t>
            </w:r>
            <w:r>
              <w:rPr>
                <w:rFonts w:hint="eastAsia" w:ascii="宋体" w:hAnsi="宋体"/>
                <w:color w:val="auto"/>
                <w:kern w:val="0"/>
                <w:szCs w:val="21"/>
                <w:highlight w:val="none"/>
              </w:rPr>
              <w:t xml:space="preserve"> </w:t>
            </w:r>
            <w:r>
              <w:rPr>
                <w:rFonts w:hint="eastAsia" w:ascii="宋体" w:hAnsi="宋体"/>
                <w:color w:val="auto"/>
                <w:spacing w:val="1"/>
                <w:kern w:val="0"/>
                <w:szCs w:val="21"/>
                <w:highlight w:val="none"/>
              </w:rPr>
              <w:t xml:space="preserve"> </w:t>
            </w:r>
            <w:r>
              <w:rPr>
                <w:rFonts w:hint="eastAsia" w:ascii="宋体" w:hAnsi="宋体" w:cs="MingLiU"/>
                <w:color w:val="auto"/>
                <w:kern w:val="0"/>
                <w:szCs w:val="21"/>
                <w:highlight w:val="none"/>
              </w:rPr>
              <w:t>址</w:t>
            </w:r>
          </w:p>
        </w:tc>
        <w:tc>
          <w:tcPr>
            <w:tcW w:w="2914"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trHeight w:val="661"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组织结构</w:t>
            </w:r>
          </w:p>
        </w:tc>
        <w:tc>
          <w:tcPr>
            <w:tcW w:w="741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trHeight w:val="633"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法定代表人</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姓名</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技术职称</w:t>
            </w:r>
          </w:p>
        </w:tc>
        <w:tc>
          <w:tcPr>
            <w:tcW w:w="18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电话</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trHeight w:val="608"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成立时间</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5563"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员工总人数：</w:t>
            </w:r>
          </w:p>
        </w:tc>
      </w:tr>
      <w:tr>
        <w:tblPrEx>
          <w:tblCellMar>
            <w:top w:w="0" w:type="dxa"/>
            <w:left w:w="0" w:type="dxa"/>
            <w:bottom w:w="0" w:type="dxa"/>
            <w:right w:w="0" w:type="dxa"/>
          </w:tblCellMar>
        </w:tblPrEx>
        <w:trPr>
          <w:cantSplit/>
          <w:trHeight w:val="772"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注册资金</w:t>
            </w:r>
          </w:p>
        </w:tc>
        <w:tc>
          <w:tcPr>
            <w:tcW w:w="24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cantSplit/>
          <w:trHeight w:val="768"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24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cantSplit/>
          <w:trHeight w:val="792"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开户银行</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账号</w:t>
            </w:r>
          </w:p>
        </w:tc>
        <w:tc>
          <w:tcPr>
            <w:tcW w:w="24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cantSplit/>
          <w:trHeight w:val="774"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经营范围</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24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r>
        <w:tblPrEx>
          <w:tblCellMar>
            <w:top w:w="0" w:type="dxa"/>
            <w:left w:w="0" w:type="dxa"/>
            <w:bottom w:w="0" w:type="dxa"/>
            <w:right w:w="0" w:type="dxa"/>
          </w:tblCellMar>
        </w:tblPrEx>
        <w:trPr>
          <w:trHeight w:val="1449" w:hRule="exac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r>
              <w:rPr>
                <w:rFonts w:hint="eastAsia" w:ascii="宋体" w:hAnsi="宋体" w:cs="MingLiU"/>
                <w:color w:val="auto"/>
                <w:kern w:val="0"/>
                <w:szCs w:val="21"/>
                <w:highlight w:val="none"/>
              </w:rPr>
              <w:t>备注</w:t>
            </w:r>
          </w:p>
          <w:p>
            <w:pPr>
              <w:autoSpaceDE w:val="0"/>
              <w:autoSpaceDN w:val="0"/>
              <w:adjustRightInd w:val="0"/>
              <w:snapToGrid w:val="0"/>
              <w:spacing w:line="360" w:lineRule="auto"/>
              <w:jc w:val="center"/>
              <w:rPr>
                <w:rFonts w:hint="eastAsia" w:ascii="宋体" w:hAnsi="宋体"/>
                <w:color w:val="auto"/>
                <w:kern w:val="0"/>
                <w:szCs w:val="21"/>
                <w:highlight w:val="none"/>
              </w:rPr>
            </w:pPr>
          </w:p>
        </w:tc>
        <w:tc>
          <w:tcPr>
            <w:tcW w:w="741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olor w:val="auto"/>
                <w:kern w:val="0"/>
                <w:szCs w:val="21"/>
                <w:highlight w:val="none"/>
              </w:rPr>
            </w:pPr>
          </w:p>
        </w:tc>
      </w:tr>
    </w:tbl>
    <w:p>
      <w:pPr>
        <w:pStyle w:val="4"/>
        <w:snapToGrid w:val="0"/>
        <w:spacing w:after="0" w:line="520" w:lineRule="exact"/>
        <w:jc w:val="left"/>
        <w:outlineLvl w:val="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 </w:t>
      </w:r>
    </w:p>
    <w:p>
      <w:pPr>
        <w:rPr>
          <w:rFonts w:hint="eastAsia" w:ascii="宋体" w:hAnsi="宋体" w:eastAsia="宋体" w:cs="宋体"/>
          <w:b w:val="0"/>
          <w:bCs w:val="0"/>
          <w:color w:val="auto"/>
          <w:sz w:val="24"/>
          <w:highlight w:val="none"/>
          <w:lang w:val="en-US" w:eastAsia="zh-CN"/>
        </w:rPr>
      </w:pPr>
    </w:p>
    <w:p>
      <w:pPr>
        <w:pStyle w:val="2"/>
        <w:rPr>
          <w:rFonts w:hint="eastAsia"/>
          <w:color w:val="auto"/>
          <w:highlight w:val="none"/>
          <w:lang w:val="en-US" w:eastAsia="zh-CN"/>
        </w:rPr>
      </w:pPr>
    </w:p>
    <w:p>
      <w:pPr>
        <w:rPr>
          <w:rFonts w:hint="eastAsia" w:ascii="宋体" w:hAnsi="宋体" w:eastAsia="宋体" w:cs="仿宋_GB2312"/>
          <w:b w:val="0"/>
          <w:bCs/>
          <w:color w:val="auto"/>
          <w:kern w:val="2"/>
          <w:sz w:val="28"/>
          <w:szCs w:val="24"/>
          <w:highlight w:val="none"/>
          <w:lang w:val="en-US" w:eastAsia="zh-CN" w:bidi="ar-SA"/>
        </w:rPr>
      </w:pPr>
    </w:p>
    <w:p>
      <w:pPr>
        <w:pStyle w:val="2"/>
        <w:rPr>
          <w:rFonts w:hint="eastAsia" w:ascii="宋体" w:hAnsi="宋体" w:eastAsia="宋体" w:cs="仿宋_GB2312"/>
          <w:b w:val="0"/>
          <w:bCs/>
          <w:color w:val="auto"/>
          <w:kern w:val="2"/>
          <w:sz w:val="28"/>
          <w:szCs w:val="24"/>
          <w:highlight w:val="none"/>
          <w:lang w:val="en-US" w:eastAsia="zh-CN" w:bidi="ar-SA"/>
        </w:rPr>
      </w:pPr>
    </w:p>
    <w:p>
      <w:pPr>
        <w:rPr>
          <w:rFonts w:hint="eastAsia" w:ascii="宋体" w:hAnsi="宋体" w:eastAsia="宋体" w:cs="仿宋_GB2312"/>
          <w:b w:val="0"/>
          <w:bCs/>
          <w:color w:val="auto"/>
          <w:kern w:val="2"/>
          <w:sz w:val="28"/>
          <w:szCs w:val="24"/>
          <w:highlight w:val="none"/>
          <w:lang w:val="en-US" w:eastAsia="zh-CN" w:bidi="ar-SA"/>
        </w:rPr>
      </w:pPr>
    </w:p>
    <w:p>
      <w:pPr>
        <w:pStyle w:val="2"/>
        <w:jc w:val="center"/>
        <w:rPr>
          <w:rFonts w:hint="eastAsia"/>
          <w:color w:val="auto"/>
          <w:highlight w:val="none"/>
          <w:lang w:val="en-US" w:eastAsia="zh-CN"/>
        </w:rPr>
      </w:pPr>
    </w:p>
    <w:p>
      <w:pPr>
        <w:pStyle w:val="4"/>
        <w:snapToGrid w:val="0"/>
        <w:spacing w:after="0" w:line="520" w:lineRule="exact"/>
        <w:jc w:val="center"/>
        <w:outlineLvl w:val="0"/>
        <w:rPr>
          <w:rFonts w:hint="eastAsia" w:ascii="宋体" w:hAnsi="宋体" w:eastAsia="宋体" w:cs="宋体"/>
          <w:color w:val="auto"/>
          <w:highlight w:val="none"/>
          <w:lang w:eastAsia="zh-CN"/>
        </w:rPr>
      </w:pPr>
      <w:r>
        <w:rPr>
          <w:rFonts w:hint="eastAsia" w:ascii="宋体" w:hAnsi="宋体" w:eastAsia="宋体" w:cs="仿宋_GB2312"/>
          <w:b w:val="0"/>
          <w:bCs/>
          <w:color w:val="auto"/>
          <w:kern w:val="2"/>
          <w:sz w:val="28"/>
          <w:szCs w:val="24"/>
          <w:highlight w:val="none"/>
          <w:lang w:val="en-US" w:eastAsia="zh-CN" w:bidi="ar-SA"/>
        </w:rPr>
        <w:t>（四）业绩要求</w:t>
      </w:r>
    </w:p>
    <w:p>
      <w:pPr>
        <w:spacing w:line="360" w:lineRule="auto"/>
        <w:rPr>
          <w:rFonts w:ascii="仿宋" w:hAnsi="仿宋" w:eastAsia="仿宋" w:cs="仿宋"/>
          <w:color w:val="auto"/>
          <w:sz w:val="28"/>
          <w:highlight w:val="none"/>
        </w:rPr>
      </w:pPr>
    </w:p>
    <w:p>
      <w:pPr>
        <w:spacing w:line="360" w:lineRule="auto"/>
        <w:jc w:val="center"/>
        <w:rPr>
          <w:rFonts w:hint="eastAsia" w:ascii="宋体" w:hAnsi="宋体" w:eastAsia="宋体" w:cs="宋体"/>
          <w:b/>
          <w:color w:val="auto"/>
          <w:sz w:val="28"/>
          <w:highlight w:val="none"/>
        </w:rPr>
      </w:pPr>
      <w:r>
        <w:rPr>
          <w:rFonts w:hint="eastAsia" w:ascii="宋体" w:hAnsi="宋体" w:eastAsia="宋体" w:cs="宋体"/>
          <w:b/>
          <w:color w:val="auto"/>
          <w:sz w:val="28"/>
          <w:highlight w:val="none"/>
          <w:lang w:val="en-US" w:eastAsia="zh-CN"/>
        </w:rPr>
        <w:t>2020年至今</w:t>
      </w:r>
      <w:r>
        <w:rPr>
          <w:rFonts w:hint="eastAsia" w:ascii="宋体" w:hAnsi="宋体" w:eastAsia="宋体" w:cs="宋体"/>
          <w:b/>
          <w:color w:val="auto"/>
          <w:sz w:val="28"/>
          <w:highlight w:val="none"/>
          <w:lang w:eastAsia="zh-CN"/>
        </w:rPr>
        <w:t>类似</w:t>
      </w:r>
      <w:r>
        <w:rPr>
          <w:rFonts w:hint="eastAsia" w:ascii="宋体" w:hAnsi="宋体" w:eastAsia="宋体" w:cs="宋体"/>
          <w:b/>
          <w:color w:val="auto"/>
          <w:sz w:val="28"/>
          <w:highlight w:val="none"/>
        </w:rPr>
        <w:t>施工业绩情况表</w:t>
      </w:r>
    </w:p>
    <w:tbl>
      <w:tblPr>
        <w:tblStyle w:val="23"/>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项目所在地</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发包人名称</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发包人地址</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工程规模</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合同价格</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开工、 竣工日期</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承担的主要工作</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工程质量</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证明人联系方式</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项目描述</w:t>
            </w:r>
          </w:p>
        </w:tc>
        <w:tc>
          <w:tcPr>
            <w:tcW w:w="2321"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c>
          <w:tcPr>
            <w:tcW w:w="2322" w:type="dxa"/>
            <w:noWrap w:val="0"/>
            <w:vAlign w:val="center"/>
          </w:tcPr>
          <w:p>
            <w:pPr>
              <w:snapToGrid w:val="0"/>
              <w:spacing w:line="400" w:lineRule="exact"/>
              <w:jc w:val="center"/>
              <w:rPr>
                <w:rFonts w:hint="eastAsia" w:ascii="宋体" w:hAnsi="宋体" w:eastAsia="宋体" w:cs="宋体"/>
                <w:color w:val="auto"/>
                <w:sz w:val="24"/>
                <w:highlight w:val="none"/>
              </w:rPr>
            </w:pPr>
          </w:p>
        </w:tc>
      </w:tr>
    </w:tbl>
    <w:p>
      <w:pPr>
        <w:spacing w:line="360" w:lineRule="auto"/>
        <w:rPr>
          <w:rFonts w:hint="eastAsia" w:ascii="宋体" w:hAnsi="宋体" w:eastAsia="宋体" w:cs="宋体"/>
          <w:color w:val="auto"/>
          <w:sz w:val="28"/>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注：需附相应项目的合同等证明文件。</w:t>
      </w: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color w:val="auto"/>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color w:val="auto"/>
          <w:highlight w:val="none"/>
        </w:rPr>
      </w:pPr>
    </w:p>
    <w:p>
      <w:pPr>
        <w:numPr>
          <w:ilvl w:val="0"/>
          <w:numId w:val="0"/>
        </w:numPr>
        <w:spacing w:line="500" w:lineRule="exact"/>
        <w:jc w:val="center"/>
        <w:rPr>
          <w:rFonts w:hint="eastAsia" w:ascii="宋体" w:hAnsi="宋体" w:eastAsia="宋体" w:cs="仿宋_GB2312"/>
          <w:b w:val="0"/>
          <w:bCs/>
          <w:color w:val="auto"/>
          <w:sz w:val="28"/>
          <w:highlight w:val="none"/>
          <w:lang w:val="en-US" w:eastAsia="zh-CN"/>
        </w:rPr>
      </w:pPr>
      <w:r>
        <w:rPr>
          <w:rFonts w:hint="eastAsia" w:ascii="宋体" w:hAnsi="宋体" w:eastAsia="宋体" w:cs="仿宋_GB2312"/>
          <w:b w:val="0"/>
          <w:bCs/>
          <w:color w:val="auto"/>
          <w:sz w:val="28"/>
          <w:highlight w:val="none"/>
          <w:lang w:val="en-US" w:eastAsia="zh-CN"/>
        </w:rPr>
        <w:t>（五）财务要求</w:t>
      </w:r>
    </w:p>
    <w:p>
      <w:pPr>
        <w:pStyle w:val="2"/>
        <w:numPr>
          <w:ilvl w:val="0"/>
          <w:numId w:val="0"/>
        </w:numPr>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jc w:val="center"/>
        <w:outlineLvl w:val="0"/>
        <w:rPr>
          <w:rFonts w:hint="eastAsia" w:ascii="宋体" w:hAnsi="宋体" w:eastAsia="宋体" w:cs="宋体"/>
          <w:b/>
          <w:color w:val="auto"/>
          <w:sz w:val="32"/>
          <w:szCs w:val="32"/>
          <w:highlight w:val="none"/>
        </w:rPr>
      </w:pPr>
      <w:bookmarkStart w:id="174" w:name="_Toc27563"/>
      <w:r>
        <w:rPr>
          <w:rFonts w:hint="eastAsia" w:ascii="宋体" w:hAnsi="宋体" w:eastAsia="宋体" w:cs="宋体"/>
          <w:b/>
          <w:color w:val="auto"/>
          <w:sz w:val="32"/>
          <w:szCs w:val="32"/>
          <w:highlight w:val="none"/>
        </w:rPr>
        <w:t>财务状况承诺书</w:t>
      </w:r>
      <w:bookmarkEnd w:id="174"/>
    </w:p>
    <w:p>
      <w:pPr>
        <w:rPr>
          <w:rFonts w:hint="eastAsia" w:ascii="宋体" w:hAnsi="宋体" w:eastAsia="宋体" w:cs="宋体"/>
          <w:color w:val="auto"/>
          <w:sz w:val="24"/>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snapToGrid w:val="0"/>
          <w:color w:val="auto"/>
          <w:kern w:val="0"/>
          <w:sz w:val="21"/>
          <w:szCs w:val="21"/>
          <w:highlight w:val="none"/>
          <w:u w:val="single"/>
        </w:rPr>
        <w:tab/>
      </w:r>
      <w:r>
        <w:rPr>
          <w:rFonts w:hint="eastAsia" w:asciiTheme="minorEastAsia" w:hAnsiTheme="minorEastAsia" w:eastAsiaTheme="minorEastAsia" w:cstheme="minorEastAsia"/>
          <w:snapToGrid w:val="0"/>
          <w:color w:val="auto"/>
          <w:kern w:val="0"/>
          <w:sz w:val="21"/>
          <w:szCs w:val="21"/>
          <w:highlight w:val="none"/>
        </w:rPr>
        <w:t>（招标人名称）：</w:t>
      </w: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我方参加贵方的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（项目名称）的投标，现我方向贵方慎重承诺： 我方</w:t>
      </w:r>
      <w:r>
        <w:rPr>
          <w:rFonts w:hint="eastAsia" w:asciiTheme="minorEastAsia" w:hAnsi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年度</w:t>
      </w:r>
      <w:r>
        <w:rPr>
          <w:rFonts w:hint="eastAsia" w:asciiTheme="minorEastAsia" w:hAnsiTheme="minorEastAsia" w:eastAsiaTheme="minorEastAsia" w:cstheme="minorEastAsia"/>
          <w:color w:val="auto"/>
          <w:sz w:val="21"/>
          <w:szCs w:val="21"/>
          <w:highlight w:val="none"/>
        </w:rPr>
        <w:t>财务和经营状况良好，不存在亏损，具备履行能力，无不良经营行为；无因投标人违约或不恰当履约引起的争议纠纷及仲裁和诉讼记录。</w:t>
      </w: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 投标人需附2022年度经审计的财务报告复印件或经投标人确认盖章的财务报表。</w:t>
      </w:r>
    </w:p>
    <w:p>
      <w:pPr>
        <w:spacing w:line="520" w:lineRule="exact"/>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1"/>
          <w:szCs w:val="21"/>
          <w:highlight w:val="none"/>
        </w:rPr>
      </w:pPr>
    </w:p>
    <w:p>
      <w:pPr>
        <w:spacing w:line="320" w:lineRule="exact"/>
        <w:ind w:firstLine="2520" w:firstLineChars="12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 标 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spacing w:line="320" w:lineRule="exact"/>
        <w:ind w:firstLine="2520" w:firstLineChars="1200"/>
        <w:jc w:val="right"/>
        <w:rPr>
          <w:rFonts w:hint="eastAsia" w:ascii="宋体" w:hAnsi="宋体" w:eastAsia="宋体" w:cs="宋体"/>
          <w:color w:val="auto"/>
          <w:sz w:val="21"/>
          <w:szCs w:val="21"/>
          <w:highlight w:val="none"/>
        </w:rPr>
      </w:pPr>
    </w:p>
    <w:p>
      <w:pPr>
        <w:spacing w:line="440" w:lineRule="exact"/>
        <w:ind w:right="240" w:firstLine="420" w:firstLineChars="2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（签字）</w:t>
      </w:r>
    </w:p>
    <w:p>
      <w:pPr>
        <w:spacing w:line="440" w:lineRule="exact"/>
        <w:ind w:right="240" w:firstLine="420" w:firstLineChars="200"/>
        <w:jc w:val="right"/>
        <w:rPr>
          <w:rFonts w:hint="eastAsia" w:ascii="宋体" w:hAnsi="宋体" w:eastAsia="宋体" w:cs="宋体"/>
          <w:color w:val="auto"/>
          <w:sz w:val="21"/>
          <w:szCs w:val="21"/>
          <w:highlight w:val="none"/>
        </w:rPr>
      </w:pPr>
    </w:p>
    <w:p>
      <w:pPr>
        <w:rPr>
          <w:rFonts w:hint="eastAsia"/>
          <w:color w:val="auto"/>
          <w:sz w:val="21"/>
          <w:szCs w:val="21"/>
          <w:highlight w:val="none"/>
          <w:lang w:val="en-US" w:eastAsia="zh-CN"/>
        </w:rPr>
      </w:pPr>
      <w:r>
        <w:rPr>
          <w:rFonts w:hint="eastAsia" w:ascii="宋体" w:hAnsi="宋体" w:eastAsia="宋体" w:cs="宋体"/>
          <w:color w:val="auto"/>
          <w:w w:val="200"/>
          <w:kern w:val="0"/>
          <w:sz w:val="21"/>
          <w:szCs w:val="21"/>
          <w:highlight w:val="none"/>
        </w:rPr>
        <w:t xml:space="preserve"> </w:t>
      </w:r>
      <w:r>
        <w:rPr>
          <w:rFonts w:hint="eastAsia" w:ascii="宋体" w:hAnsi="宋体" w:eastAsia="宋体" w:cs="宋体"/>
          <w:color w:val="auto"/>
          <w:w w:val="200"/>
          <w:kern w:val="0"/>
          <w:sz w:val="21"/>
          <w:szCs w:val="21"/>
          <w:highlight w:val="none"/>
          <w:lang w:val="en-US" w:eastAsia="zh-CN"/>
        </w:rPr>
        <w:t xml:space="preserve">                         </w:t>
      </w:r>
      <w:r>
        <w:rPr>
          <w:rFonts w:hint="eastAsia" w:ascii="宋体" w:hAnsi="宋体" w:eastAsia="宋体" w:cs="宋体"/>
          <w:color w:val="auto"/>
          <w:w w:val="200"/>
          <w:kern w:val="0"/>
          <w:sz w:val="21"/>
          <w:szCs w:val="21"/>
          <w:highlight w:val="none"/>
          <w:u w:val="single"/>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w w:val="200"/>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w w:val="200"/>
          <w:kern w:val="0"/>
          <w:sz w:val="21"/>
          <w:szCs w:val="21"/>
          <w:highlight w:val="none"/>
          <w:u w:val="single"/>
        </w:rPr>
        <w:t xml:space="preserve">  </w:t>
      </w:r>
      <w:r>
        <w:rPr>
          <w:rFonts w:hint="eastAsia" w:ascii="宋体" w:hAnsi="宋体" w:eastAsia="宋体" w:cs="宋体"/>
          <w:color w:val="auto"/>
          <w:kern w:val="0"/>
          <w:sz w:val="21"/>
          <w:szCs w:val="21"/>
          <w:highlight w:val="none"/>
        </w:rPr>
        <w:t>日</w:t>
      </w:r>
    </w:p>
    <w:p>
      <w:pPr>
        <w:jc w:val="right"/>
        <w:rPr>
          <w:rFonts w:hint="eastAsia" w:ascii="宋体" w:hAnsi="宋体" w:eastAsia="宋体" w:cs="宋体"/>
          <w:b/>
          <w:color w:val="auto"/>
          <w:sz w:val="28"/>
          <w:szCs w:val="28"/>
          <w:highlight w:val="none"/>
        </w:rPr>
      </w:pP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color w:val="auto"/>
          <w:kern w:val="0"/>
          <w:sz w:val="24"/>
          <w:highlight w:val="none"/>
        </w:rPr>
        <w:br w:type="page"/>
      </w:r>
    </w:p>
    <w:p>
      <w:pPr>
        <w:numPr>
          <w:ilvl w:val="0"/>
          <w:numId w:val="0"/>
        </w:numPr>
        <w:spacing w:line="500" w:lineRule="exact"/>
        <w:jc w:val="both"/>
        <w:rPr>
          <w:rFonts w:hint="eastAsia" w:ascii="宋体" w:hAnsi="宋体" w:eastAsia="宋体" w:cs="仿宋_GB2312"/>
          <w:b w:val="0"/>
          <w:bCs/>
          <w:color w:val="auto"/>
          <w:sz w:val="28"/>
          <w:highlight w:val="none"/>
          <w:lang w:eastAsia="zh-CN"/>
        </w:rPr>
      </w:pPr>
    </w:p>
    <w:p>
      <w:pPr>
        <w:numPr>
          <w:ilvl w:val="0"/>
          <w:numId w:val="0"/>
        </w:numPr>
        <w:spacing w:line="500" w:lineRule="exact"/>
        <w:jc w:val="center"/>
        <w:rPr>
          <w:rFonts w:hint="eastAsia" w:ascii="宋体" w:hAnsi="宋体" w:eastAsia="宋体" w:cs="仿宋_GB2312"/>
          <w:b w:val="0"/>
          <w:bCs/>
          <w:color w:val="auto"/>
          <w:sz w:val="28"/>
          <w:highlight w:val="none"/>
          <w:lang w:eastAsia="zh-CN"/>
        </w:rPr>
      </w:pPr>
      <w:r>
        <w:rPr>
          <w:rFonts w:hint="eastAsia" w:ascii="宋体" w:hAnsi="宋体" w:eastAsia="宋体" w:cs="仿宋_GB2312"/>
          <w:b w:val="0"/>
          <w:bCs/>
          <w:color w:val="auto"/>
          <w:sz w:val="28"/>
          <w:highlight w:val="none"/>
          <w:lang w:eastAsia="zh-CN"/>
        </w:rPr>
        <w:t>（</w:t>
      </w:r>
      <w:r>
        <w:rPr>
          <w:rFonts w:hint="eastAsia" w:ascii="宋体" w:hAnsi="宋体" w:eastAsia="宋体" w:cs="仿宋_GB2312"/>
          <w:b w:val="0"/>
          <w:bCs/>
          <w:color w:val="auto"/>
          <w:sz w:val="28"/>
          <w:highlight w:val="none"/>
          <w:lang w:val="en-US" w:eastAsia="zh-CN"/>
        </w:rPr>
        <w:t>六</w:t>
      </w:r>
      <w:r>
        <w:rPr>
          <w:rFonts w:hint="eastAsia" w:ascii="宋体" w:hAnsi="宋体" w:eastAsia="宋体" w:cs="仿宋_GB2312"/>
          <w:b w:val="0"/>
          <w:bCs/>
          <w:color w:val="auto"/>
          <w:sz w:val="28"/>
          <w:highlight w:val="none"/>
          <w:lang w:eastAsia="zh-CN"/>
        </w:rPr>
        <w:t>）项目经理资格要求</w:t>
      </w:r>
    </w:p>
    <w:p>
      <w:pPr>
        <w:pStyle w:val="2"/>
        <w:numPr>
          <w:ilvl w:val="0"/>
          <w:numId w:val="0"/>
        </w:numPr>
        <w:ind w:leftChars="200"/>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5"/>
        <w:spacing w:before="0" w:line="360" w:lineRule="auto"/>
        <w:jc w:val="center"/>
        <w:rPr>
          <w:rFonts w:ascii="宋体" w:hAnsi="宋体"/>
          <w:b w:val="0"/>
          <w:color w:val="auto"/>
          <w:highlight w:val="none"/>
        </w:rPr>
      </w:pPr>
      <w:r>
        <w:rPr>
          <w:rFonts w:hint="eastAsia" w:ascii="宋体" w:hAnsi="宋体" w:eastAsia="宋体" w:cs="仿宋_GB2312"/>
          <w:b w:val="0"/>
          <w:bCs/>
          <w:color w:val="auto"/>
          <w:sz w:val="28"/>
          <w:highlight w:val="none"/>
          <w:lang w:eastAsia="zh-CN"/>
        </w:rPr>
        <w:t>（七）</w:t>
      </w:r>
      <w:bookmarkStart w:id="175" w:name="_Toc57820664"/>
      <w:r>
        <w:rPr>
          <w:rFonts w:hint="eastAsia" w:ascii="宋体" w:hAnsi="宋体"/>
          <w:b w:val="0"/>
          <w:color w:val="auto"/>
          <w:highlight w:val="none"/>
        </w:rPr>
        <w:t>承诺</w:t>
      </w:r>
      <w:bookmarkEnd w:id="175"/>
    </w:p>
    <w:p>
      <w:pPr>
        <w:snapToGrid w:val="0"/>
        <w:spacing w:line="380" w:lineRule="exact"/>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 xml:space="preserve">        （招标人名称）</w:t>
      </w:r>
      <w:r>
        <w:rPr>
          <w:rFonts w:hint="eastAsia" w:asciiTheme="minorEastAsia" w:hAnsiTheme="minorEastAsia" w:eastAsiaTheme="minorEastAsia" w:cstheme="minorEastAsia"/>
          <w:color w:val="auto"/>
          <w:sz w:val="21"/>
          <w:szCs w:val="21"/>
          <w:highlight w:val="none"/>
        </w:rPr>
        <w:t>：</w:t>
      </w:r>
    </w:p>
    <w:p>
      <w:pPr>
        <w:snapToGrid w:val="0"/>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我公司</w:t>
      </w:r>
      <w:r>
        <w:rPr>
          <w:rFonts w:hint="eastAsia" w:asciiTheme="minorEastAsia" w:hAnsiTheme="minorEastAsia" w:eastAsiaTheme="minorEastAsia" w:cstheme="minorEastAsia"/>
          <w:color w:val="auto"/>
          <w:sz w:val="21"/>
          <w:szCs w:val="21"/>
          <w:highlight w:val="none"/>
          <w:u w:val="single"/>
        </w:rPr>
        <w:t xml:space="preserve">        （投标人名称）</w:t>
      </w:r>
      <w:r>
        <w:rPr>
          <w:rFonts w:hint="eastAsia" w:asciiTheme="minorEastAsia" w:hAnsiTheme="minorEastAsia" w:eastAsiaTheme="minorEastAsia" w:cstheme="minorEastAsia"/>
          <w:color w:val="auto"/>
          <w:sz w:val="21"/>
          <w:szCs w:val="21"/>
          <w:highlight w:val="none"/>
        </w:rPr>
        <w:t>参加了贵单位</w:t>
      </w:r>
      <w:r>
        <w:rPr>
          <w:rFonts w:hint="eastAsia" w:asciiTheme="minorEastAsia" w:hAnsiTheme="minorEastAsia" w:eastAsiaTheme="minorEastAsia" w:cstheme="minorEastAsia"/>
          <w:color w:val="auto"/>
          <w:sz w:val="21"/>
          <w:szCs w:val="21"/>
          <w:highlight w:val="none"/>
          <w:u w:val="single"/>
        </w:rPr>
        <w:t xml:space="preserve">        （项目名称）</w:t>
      </w:r>
      <w:r>
        <w:rPr>
          <w:rFonts w:hint="eastAsia" w:asciiTheme="minorEastAsia" w:hAnsiTheme="minorEastAsia" w:eastAsiaTheme="minorEastAsia" w:cstheme="minorEastAsia"/>
          <w:color w:val="auto"/>
          <w:sz w:val="21"/>
          <w:szCs w:val="21"/>
          <w:highlight w:val="none"/>
        </w:rPr>
        <w:t>的投标，自愿作出以下承诺：</w:t>
      </w:r>
    </w:p>
    <w:p>
      <w:pPr>
        <w:pStyle w:val="19"/>
        <w:keepNext w:val="0"/>
        <w:keepLines w:val="0"/>
        <w:widowControl/>
        <w:suppressLineNumbers w:val="0"/>
        <w:spacing w:before="0" w:beforeAutospacing="1" w:after="0" w:afterAutospacing="1" w:line="240" w:lineRule="auto"/>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1、我公司投标截止日投标资格情况不存在下列情形之一： </w:t>
      </w:r>
    </w:p>
    <w:p>
      <w:pPr>
        <w:pStyle w:val="19"/>
        <w:keepNext w:val="0"/>
        <w:keepLines w:val="0"/>
        <w:widowControl/>
        <w:suppressLineNumbers w:val="0"/>
        <w:spacing w:before="0" w:beforeAutospacing="1" w:after="0" w:afterAutospacing="1" w:line="240" w:lineRule="auto"/>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（1）被人民法院列入失信被执行人名单且在被执行期内；</w:t>
      </w:r>
    </w:p>
    <w:p>
      <w:pPr>
        <w:pStyle w:val="19"/>
        <w:keepNext w:val="0"/>
        <w:keepLines w:val="0"/>
        <w:widowControl/>
        <w:suppressLineNumbers w:val="0"/>
        <w:spacing w:before="0" w:beforeAutospacing="1" w:after="0" w:afterAutospacing="1" w:line="240" w:lineRule="auto"/>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（2）被列入《重庆市工程建设领域招标投标信用管理暂行办法》规定的重点关注名单且记分达到12分且在记分有效期内；</w:t>
      </w:r>
    </w:p>
    <w:p>
      <w:pPr>
        <w:pStyle w:val="19"/>
        <w:keepNext w:val="0"/>
        <w:keepLines w:val="0"/>
        <w:widowControl/>
        <w:suppressLineNumbers w:val="0"/>
        <w:spacing w:before="0" w:beforeAutospacing="1" w:after="0" w:afterAutospacing="1" w:line="240" w:lineRule="auto"/>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（3）被列入《重庆市工程建设领域招标投标信用管理暂行办法》规定的重庆市工程建设领域招标投标失信惩戒对象名单（以下称黑名单）且在记分有效期内；</w:t>
      </w:r>
    </w:p>
    <w:p>
      <w:pPr>
        <w:pStyle w:val="19"/>
        <w:keepNext w:val="0"/>
        <w:keepLines w:val="0"/>
        <w:widowControl/>
        <w:suppressLineNumbers w:val="0"/>
        <w:spacing w:before="0" w:beforeAutospacing="1" w:after="0" w:afterAutospacing="1" w:line="240" w:lineRule="auto"/>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（4）被国家、重庆市（含市或任意区县）有关行政部门处以暂停投标资格行政处罚，且在处罚期限内；</w:t>
      </w:r>
    </w:p>
    <w:p>
      <w:pPr>
        <w:pStyle w:val="19"/>
        <w:keepNext w:val="0"/>
        <w:keepLines w:val="0"/>
        <w:widowControl/>
        <w:suppressLineNumbers w:val="0"/>
        <w:spacing w:before="0" w:beforeAutospacing="1" w:after="0" w:afterAutospacing="1" w:line="240" w:lineRule="auto"/>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（5）被重庆市市级有关行业主管部门暂停在渝承揽新业务且在暂停期内。</w:t>
      </w:r>
    </w:p>
    <w:p>
      <w:pPr>
        <w:pStyle w:val="19"/>
        <w:keepNext w:val="0"/>
        <w:keepLines w:val="0"/>
        <w:widowControl/>
        <w:suppressLineNumbers w:val="0"/>
        <w:spacing w:before="0" w:beforeAutospacing="1" w:after="0" w:afterAutospacing="1" w:line="400" w:lineRule="atLeast"/>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 xml:space="preserve">、我公司若中标，在签订合同之前，将按照建设行政主管部门的要求配置项目管理班子。相关岗位管理人员应持有建设行政主管部门要求的岗位证书，并提供我公司为其缴纳的养老保险证明材料。中标后不能满足该要求的，取消我公司中标资格，给招标人造成损失的，我公司依法承担违约赔偿责任。 </w:t>
      </w:r>
    </w:p>
    <w:p>
      <w:pPr>
        <w:pStyle w:val="19"/>
        <w:keepNext w:val="0"/>
        <w:keepLines w:val="0"/>
        <w:widowControl/>
        <w:suppressLineNumbers w:val="0"/>
        <w:spacing w:before="0" w:beforeAutospacing="1" w:after="0" w:afterAutospacing="1" w:line="400" w:lineRule="atLeast"/>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 xml:space="preserve">、我公司在资格审查部分中提供的相关证明材料真实有效，不存在弄虚作假情形。招标人在合同签订前均有权对我司提供的资料（如业绩截图信息等相关证明材料）进行核实，若发现弄虚作假，取消中标资格，并按相关法律法规报招标投标监督部门处理，投标保证金不予退还，我司自愿承担因此造成的相关责任并赔偿相应损失。 </w:t>
      </w:r>
    </w:p>
    <w:p>
      <w:pPr>
        <w:pStyle w:val="19"/>
        <w:keepNext w:val="0"/>
        <w:keepLines w:val="0"/>
        <w:widowControl/>
        <w:suppressLineNumbers w:val="0"/>
        <w:spacing w:before="0" w:beforeAutospacing="1" w:after="0" w:afterAutospacing="1" w:line="240" w:lineRule="auto"/>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 xml:space="preserve">、我公司不存在第二章 投标人须知第 1.4.3 项规定的任何一种情形。 </w:t>
      </w:r>
    </w:p>
    <w:p>
      <w:pPr>
        <w:pStyle w:val="19"/>
        <w:keepNext w:val="0"/>
        <w:keepLines w:val="0"/>
        <w:widowControl/>
        <w:suppressLineNumbers w:val="0"/>
        <w:spacing w:before="0" w:beforeAutospacing="1" w:after="0" w:afterAutospacing="1" w:line="240" w:lineRule="auto"/>
        <w:ind w:left="0" w:right="0"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 xml:space="preserve">、我公司的投标文件符合第二章 投标人须知第 1.3.1 项的规定。 </w:t>
      </w:r>
    </w:p>
    <w:p>
      <w:pPr>
        <w:tabs>
          <w:tab w:val="left" w:pos="4200"/>
          <w:tab w:val="left" w:pos="4620"/>
        </w:tabs>
        <w:autoSpaceDE w:val="0"/>
        <w:autoSpaceDN w:val="0"/>
        <w:adjustRightInd w:val="0"/>
        <w:snapToGrid w:val="0"/>
        <w:spacing w:line="38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投  标  人：</w:t>
      </w:r>
      <w:r>
        <w:rPr>
          <w:rFonts w:hint="eastAsia" w:asciiTheme="minorEastAsia" w:hAnsiTheme="minorEastAsia" w:eastAsiaTheme="minorEastAsia" w:cstheme="minorEastAsia"/>
          <w:color w:val="auto"/>
          <w:w w:val="200"/>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pacing w:val="-1"/>
          <w:kern w:val="0"/>
          <w:sz w:val="21"/>
          <w:szCs w:val="21"/>
          <w:highlight w:val="none"/>
        </w:rPr>
        <w:t>盖单位法人章</w:t>
      </w:r>
      <w:r>
        <w:rPr>
          <w:rFonts w:hint="eastAsia" w:asciiTheme="minorEastAsia" w:hAnsiTheme="minorEastAsia" w:eastAsiaTheme="minorEastAsia" w:cstheme="minorEastAsia"/>
          <w:color w:val="auto"/>
          <w:kern w:val="0"/>
          <w:sz w:val="21"/>
          <w:szCs w:val="21"/>
          <w:highlight w:val="none"/>
        </w:rPr>
        <w:t>）</w:t>
      </w:r>
    </w:p>
    <w:p>
      <w:pPr>
        <w:tabs>
          <w:tab w:val="left" w:pos="6300"/>
        </w:tabs>
        <w:autoSpaceDE w:val="0"/>
        <w:autoSpaceDN w:val="0"/>
        <w:adjustRightInd w:val="0"/>
        <w:snapToGrid w:val="0"/>
        <w:spacing w:line="38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法定代表人：</w:t>
      </w:r>
      <w:r>
        <w:rPr>
          <w:rFonts w:hint="eastAsia" w:asciiTheme="minorEastAsia" w:hAnsiTheme="minorEastAsia" w:eastAsiaTheme="minorEastAsia" w:cstheme="minorEastAsia"/>
          <w:color w:val="auto"/>
          <w:w w:val="200"/>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（签名或盖章）</w:t>
      </w:r>
    </w:p>
    <w:p>
      <w:pPr>
        <w:snapToGrid w:val="0"/>
        <w:spacing w:line="380" w:lineRule="exact"/>
        <w:ind w:firstLine="420" w:firstLineChars="200"/>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年</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月</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日</w:t>
      </w:r>
    </w:p>
    <w:p>
      <w:pPr>
        <w:widowControl w:val="0"/>
        <w:numPr>
          <w:ilvl w:val="0"/>
          <w:numId w:val="0"/>
        </w:numPr>
        <w:spacing w:line="360" w:lineRule="auto"/>
        <w:jc w:val="both"/>
        <w:rPr>
          <w:rFonts w:hint="eastAsia" w:ascii="宋体" w:hAnsi="宋体"/>
          <w:b w:val="0"/>
          <w:color w:val="auto"/>
          <w:sz w:val="28"/>
          <w:szCs w:val="28"/>
          <w:highlight w:val="none"/>
        </w:rPr>
      </w:pPr>
    </w:p>
    <w:p>
      <w:pPr>
        <w:widowControl w:val="0"/>
        <w:numPr>
          <w:ilvl w:val="0"/>
          <w:numId w:val="0"/>
        </w:numPr>
        <w:spacing w:line="360" w:lineRule="auto"/>
        <w:jc w:val="both"/>
        <w:rPr>
          <w:rFonts w:hint="eastAsia" w:ascii="宋体" w:hAnsi="宋体"/>
          <w:b w:val="0"/>
          <w:color w:val="auto"/>
          <w:sz w:val="28"/>
          <w:szCs w:val="28"/>
          <w:highlight w:val="none"/>
          <w:lang w:eastAsia="zh-CN"/>
        </w:rPr>
      </w:pPr>
    </w:p>
    <w:p>
      <w:pPr>
        <w:widowControl w:val="0"/>
        <w:numPr>
          <w:ilvl w:val="0"/>
          <w:numId w:val="0"/>
        </w:numPr>
        <w:spacing w:line="360" w:lineRule="auto"/>
        <w:jc w:val="center"/>
        <w:rPr>
          <w:rFonts w:hint="eastAsia" w:ascii="宋体" w:hAnsi="宋体"/>
          <w:b w:val="0"/>
          <w:color w:val="auto"/>
          <w:sz w:val="28"/>
          <w:szCs w:val="28"/>
          <w:highlight w:val="none"/>
          <w:lang w:eastAsia="zh-CN"/>
        </w:rPr>
      </w:pPr>
    </w:p>
    <w:p>
      <w:pPr>
        <w:widowControl w:val="0"/>
        <w:numPr>
          <w:ilvl w:val="0"/>
          <w:numId w:val="0"/>
        </w:numPr>
        <w:spacing w:line="360" w:lineRule="auto"/>
        <w:jc w:val="center"/>
        <w:rPr>
          <w:rFonts w:hint="eastAsia" w:ascii="宋体" w:hAnsi="宋体" w:eastAsiaTheme="minorEastAsia"/>
          <w:b w:val="0"/>
          <w:color w:val="auto"/>
          <w:sz w:val="28"/>
          <w:szCs w:val="28"/>
          <w:highlight w:val="none"/>
          <w:lang w:eastAsia="zh-CN"/>
        </w:rPr>
      </w:pPr>
      <w:r>
        <w:rPr>
          <w:rFonts w:hint="eastAsia" w:ascii="宋体" w:hAnsi="宋体"/>
          <w:b w:val="0"/>
          <w:color w:val="auto"/>
          <w:sz w:val="28"/>
          <w:szCs w:val="28"/>
          <w:highlight w:val="none"/>
          <w:lang w:eastAsia="zh-CN"/>
        </w:rPr>
        <w:t>（八）其他资料</w:t>
      </w: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pStyle w:val="2"/>
        <w:rPr>
          <w:rFonts w:hint="eastAsia" w:ascii="宋体" w:hAnsi="宋体"/>
          <w:b w:val="0"/>
          <w:color w:val="auto"/>
          <w:sz w:val="28"/>
          <w:szCs w:val="28"/>
          <w:highlight w:val="none"/>
        </w:rPr>
      </w:pPr>
    </w:p>
    <w:p>
      <w:pPr>
        <w:rPr>
          <w:rFonts w:hint="eastAsia" w:ascii="宋体" w:hAnsi="宋体"/>
          <w:b w:val="0"/>
          <w:color w:val="auto"/>
          <w:sz w:val="28"/>
          <w:szCs w:val="28"/>
          <w:highlight w:val="none"/>
        </w:rPr>
      </w:pPr>
    </w:p>
    <w:p>
      <w:pPr>
        <w:pStyle w:val="2"/>
        <w:rPr>
          <w:rFonts w:hint="eastAsia"/>
          <w:color w:val="auto"/>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pStyle w:val="2"/>
        <w:rPr>
          <w:rFonts w:hint="eastAsia"/>
          <w:color w:val="auto"/>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widowControl w:val="0"/>
        <w:numPr>
          <w:ilvl w:val="0"/>
          <w:numId w:val="0"/>
        </w:numPr>
        <w:spacing w:line="360" w:lineRule="auto"/>
        <w:jc w:val="center"/>
        <w:rPr>
          <w:rFonts w:hint="eastAsia" w:ascii="宋体" w:hAnsi="宋体"/>
          <w:b w:val="0"/>
          <w:color w:val="auto"/>
          <w:sz w:val="28"/>
          <w:szCs w:val="28"/>
          <w:highlight w:val="none"/>
        </w:rPr>
      </w:pPr>
    </w:p>
    <w:p>
      <w:pPr>
        <w:numPr>
          <w:ilvl w:val="0"/>
          <w:numId w:val="0"/>
        </w:numPr>
        <w:jc w:val="center"/>
        <w:outlineLvl w:val="0"/>
        <w:rPr>
          <w:rFonts w:ascii="宋体" w:hAnsi="宋体" w:cs="宋体"/>
          <w:b/>
          <w:color w:val="auto"/>
          <w:sz w:val="32"/>
          <w:szCs w:val="32"/>
          <w:highlight w:val="none"/>
        </w:rPr>
      </w:pPr>
      <w:bookmarkStart w:id="176" w:name="_Toc2265"/>
      <w:r>
        <w:rPr>
          <w:rFonts w:hint="eastAsia" w:ascii="宋体" w:hAnsi="宋体" w:cs="宋体"/>
          <w:b/>
          <w:color w:val="auto"/>
          <w:sz w:val="32"/>
          <w:szCs w:val="32"/>
          <w:highlight w:val="none"/>
          <w:lang w:eastAsia="zh-CN"/>
        </w:rPr>
        <w:t>二、</w:t>
      </w:r>
      <w:r>
        <w:rPr>
          <w:rFonts w:hint="eastAsia" w:ascii="宋体" w:hAnsi="宋体" w:cs="宋体"/>
          <w:b/>
          <w:color w:val="auto"/>
          <w:sz w:val="32"/>
          <w:szCs w:val="32"/>
          <w:highlight w:val="none"/>
        </w:rPr>
        <w:t>技术部分《</w:t>
      </w:r>
      <w:r>
        <w:rPr>
          <w:rFonts w:hint="eastAsia" w:ascii="宋体" w:hAnsi="宋体" w:cs="宋体"/>
          <w:b/>
          <w:color w:val="auto"/>
          <w:sz w:val="32"/>
          <w:szCs w:val="32"/>
          <w:highlight w:val="none"/>
          <w:lang w:eastAsia="zh-CN"/>
        </w:rPr>
        <w:t>技术方案</w:t>
      </w:r>
      <w:r>
        <w:rPr>
          <w:rFonts w:hint="eastAsia" w:ascii="宋体" w:hAnsi="宋体" w:cs="宋体"/>
          <w:b/>
          <w:color w:val="auto"/>
          <w:sz w:val="32"/>
          <w:szCs w:val="32"/>
          <w:highlight w:val="none"/>
        </w:rPr>
        <w:t>》</w:t>
      </w:r>
      <w:bookmarkEnd w:id="176"/>
    </w:p>
    <w:p>
      <w:pPr>
        <w:numPr>
          <w:ilvl w:val="0"/>
          <w:numId w:val="0"/>
        </w:numPr>
        <w:spacing w:line="360" w:lineRule="auto"/>
        <w:jc w:val="both"/>
        <w:rPr>
          <w:rFonts w:hint="eastAsia" w:ascii="宋体" w:hAnsi="宋体"/>
          <w:b w:val="0"/>
          <w:color w:val="auto"/>
          <w:sz w:val="28"/>
          <w:szCs w:val="28"/>
          <w:highlight w:val="none"/>
        </w:rPr>
      </w:pPr>
    </w:p>
    <w:p>
      <w:pPr>
        <w:rPr>
          <w:rFonts w:hint="eastAsia" w:ascii="宋体" w:hAnsi="宋体"/>
          <w:color w:val="auto"/>
          <w:highlight w:val="none"/>
        </w:rPr>
      </w:pPr>
    </w:p>
    <w:p>
      <w:pPr>
        <w:autoSpaceDE w:val="0"/>
        <w:autoSpaceDN w:val="0"/>
        <w:adjustRightInd w:val="0"/>
        <w:snapToGrid w:val="0"/>
        <w:spacing w:line="360" w:lineRule="auto"/>
        <w:jc w:val="center"/>
        <w:rPr>
          <w:rFonts w:ascii="宋体" w:hAnsi="宋体" w:cs="宋体"/>
          <w:color w:val="auto"/>
          <w:kern w:val="0"/>
          <w:sz w:val="32"/>
          <w:szCs w:val="32"/>
          <w:highlight w:val="none"/>
        </w:rPr>
      </w:pPr>
    </w:p>
    <w:p>
      <w:pPr>
        <w:autoSpaceDE w:val="0"/>
        <w:autoSpaceDN w:val="0"/>
        <w:adjustRightInd w:val="0"/>
        <w:snapToGrid w:val="0"/>
        <w:spacing w:line="360" w:lineRule="auto"/>
        <w:ind w:firstLine="480" w:firstLineChars="200"/>
        <w:jc w:val="center"/>
        <w:outlineLvl w:val="0"/>
        <w:rPr>
          <w:rFonts w:ascii="宋体" w:hAnsi="宋体" w:cs="宋体"/>
          <w:color w:val="auto"/>
          <w:kern w:val="0"/>
          <w:sz w:val="24"/>
          <w:highlight w:val="none"/>
        </w:rPr>
      </w:pPr>
      <w:bookmarkStart w:id="177" w:name="_Toc8016"/>
      <w:r>
        <w:rPr>
          <w:rFonts w:hint="eastAsia" w:ascii="宋体" w:hAnsi="宋体" w:cs="宋体"/>
          <w:color w:val="auto"/>
          <w:kern w:val="0"/>
          <w:sz w:val="24"/>
          <w:highlight w:val="none"/>
        </w:rPr>
        <w:t>[目录由投标人自行编制]</w:t>
      </w:r>
      <w:bookmarkEnd w:id="177"/>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widowControl/>
        <w:jc w:val="left"/>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pStyle w:val="3"/>
        <w:spacing w:line="360" w:lineRule="auto"/>
        <w:jc w:val="center"/>
        <w:outlineLvl w:val="9"/>
        <w:rPr>
          <w:rFonts w:hint="eastAsia"/>
          <w:color w:val="auto"/>
          <w:highlight w:val="none"/>
        </w:rPr>
      </w:pPr>
    </w:p>
    <w:p>
      <w:pPr>
        <w:rPr>
          <w:rFonts w:hint="eastAsia" w:ascii="宋体" w:hAnsi="宋体" w:eastAsia="宋体" w:cs="宋体"/>
          <w:color w:val="auto"/>
          <w:sz w:val="24"/>
          <w:highlight w:val="none"/>
        </w:rPr>
      </w:pPr>
    </w:p>
    <w:sectPr>
      <w:footerReference r:id="rId6" w:type="default"/>
      <w:pgSz w:w="11906" w:h="16838"/>
      <w:pgMar w:top="1100" w:right="1418" w:bottom="1247" w:left="1418" w:header="624" w:footer="748"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decorative"/>
    <w:pitch w:val="default"/>
    <w:sig w:usb0="A00002EF" w:usb1="4000207B" w:usb2="00000000" w:usb3="00000000" w:csb0="2000019F" w:csb1="00000000"/>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8849458"/>
    </w:sdtPr>
    <w:sdtContent>
      <w:p>
        <w:pPr>
          <w:pStyle w:val="12"/>
          <w:jc w:val="center"/>
        </w:pPr>
        <w:r>
          <w:fldChar w:fldCharType="begin"/>
        </w:r>
        <w:r>
          <w:instrText xml:space="preserve">PAGE   \* MERGEFORMAT</w:instrText>
        </w:r>
        <w:r>
          <w:fldChar w:fldCharType="separate"/>
        </w:r>
        <w:r>
          <w:rPr>
            <w:lang w:val="zh-CN"/>
          </w:rPr>
          <w:t>23</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8849458"/>
    </w:sdtPr>
    <w:sdtContent>
      <w:p>
        <w:pPr>
          <w:pStyle w:val="12"/>
          <w:jc w:val="center"/>
        </w:pPr>
        <w:r>
          <w:fldChar w:fldCharType="begin"/>
        </w:r>
        <w:r>
          <w:instrText xml:space="preserve">PAGE   \* MERGEFORMAT</w:instrText>
        </w:r>
        <w:r>
          <w:fldChar w:fldCharType="separate"/>
        </w:r>
        <w:r>
          <w:rPr>
            <w:lang w:val="zh-CN"/>
          </w:rPr>
          <w:t>23</w:t>
        </w:r>
        <w:r>
          <w:fldChar w:fldCharType="end"/>
        </w:r>
      </w:p>
      <w:p>
        <w:pPr>
          <w:pStyle w:val="12"/>
          <w:jc w:val="center"/>
        </w:pP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7BA29"/>
    <w:multiLevelType w:val="singleLevel"/>
    <w:tmpl w:val="F7E7BA29"/>
    <w:lvl w:ilvl="0" w:tentative="0">
      <w:start w:val="1"/>
      <w:numFmt w:val="decimal"/>
      <w:suff w:val="nothing"/>
      <w:lvlText w:val="%1．"/>
      <w:lvlJc w:val="left"/>
      <w:pPr>
        <w:ind w:left="0" w:firstLine="400"/>
      </w:pPr>
      <w:rPr>
        <w:rFonts w:hint="default"/>
      </w:rPr>
    </w:lvl>
  </w:abstractNum>
  <w:abstractNum w:abstractNumId="1">
    <w:nsid w:val="27EDAA50"/>
    <w:multiLevelType w:val="singleLevel"/>
    <w:tmpl w:val="27EDAA50"/>
    <w:lvl w:ilvl="0" w:tentative="0">
      <w:start w:val="1"/>
      <w:numFmt w:val="chineseCounting"/>
      <w:suff w:val="space"/>
      <w:lvlText w:val="第%1章"/>
      <w:lvlJc w:val="left"/>
      <w:pPr>
        <w:ind w:left="2696"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NmMyMjRhOWQ3ZmZmZjc3ODNhNTFlNjQxODBkMGUifQ=="/>
  </w:docVars>
  <w:rsids>
    <w:rsidRoot w:val="1CBE3573"/>
    <w:rsid w:val="000004E2"/>
    <w:rsid w:val="00007A59"/>
    <w:rsid w:val="0002032B"/>
    <w:rsid w:val="00035B82"/>
    <w:rsid w:val="00040BDA"/>
    <w:rsid w:val="0005439D"/>
    <w:rsid w:val="00065E71"/>
    <w:rsid w:val="00070D43"/>
    <w:rsid w:val="000822BD"/>
    <w:rsid w:val="0009563F"/>
    <w:rsid w:val="000A61D7"/>
    <w:rsid w:val="000A747E"/>
    <w:rsid w:val="000B0D62"/>
    <w:rsid w:val="000D295C"/>
    <w:rsid w:val="000D51FF"/>
    <w:rsid w:val="000D5C05"/>
    <w:rsid w:val="000E439A"/>
    <w:rsid w:val="000F5618"/>
    <w:rsid w:val="0011163A"/>
    <w:rsid w:val="001137D3"/>
    <w:rsid w:val="001369C1"/>
    <w:rsid w:val="00137826"/>
    <w:rsid w:val="00141D74"/>
    <w:rsid w:val="0015594E"/>
    <w:rsid w:val="00160193"/>
    <w:rsid w:val="00167FC7"/>
    <w:rsid w:val="001759EE"/>
    <w:rsid w:val="001A33F2"/>
    <w:rsid w:val="001C125F"/>
    <w:rsid w:val="001D340F"/>
    <w:rsid w:val="001D531E"/>
    <w:rsid w:val="001E2FC8"/>
    <w:rsid w:val="00232A7F"/>
    <w:rsid w:val="00250241"/>
    <w:rsid w:val="002606E4"/>
    <w:rsid w:val="002674CA"/>
    <w:rsid w:val="002801AD"/>
    <w:rsid w:val="00297673"/>
    <w:rsid w:val="002B3C0A"/>
    <w:rsid w:val="002C7713"/>
    <w:rsid w:val="002D0EC7"/>
    <w:rsid w:val="002D4F08"/>
    <w:rsid w:val="002E2461"/>
    <w:rsid w:val="002E49F2"/>
    <w:rsid w:val="002E5FE5"/>
    <w:rsid w:val="002E7A39"/>
    <w:rsid w:val="00304E12"/>
    <w:rsid w:val="003139D7"/>
    <w:rsid w:val="00323BA5"/>
    <w:rsid w:val="0033388B"/>
    <w:rsid w:val="00345C99"/>
    <w:rsid w:val="00354B6D"/>
    <w:rsid w:val="00363E9B"/>
    <w:rsid w:val="003742B8"/>
    <w:rsid w:val="00384BB3"/>
    <w:rsid w:val="003A2424"/>
    <w:rsid w:val="003A2694"/>
    <w:rsid w:val="003C5015"/>
    <w:rsid w:val="003E4216"/>
    <w:rsid w:val="003E4CC4"/>
    <w:rsid w:val="00426E0D"/>
    <w:rsid w:val="00430E94"/>
    <w:rsid w:val="004326C5"/>
    <w:rsid w:val="004342D2"/>
    <w:rsid w:val="004540AC"/>
    <w:rsid w:val="004562F7"/>
    <w:rsid w:val="00465CFB"/>
    <w:rsid w:val="00474D26"/>
    <w:rsid w:val="00477405"/>
    <w:rsid w:val="004779B0"/>
    <w:rsid w:val="004906DE"/>
    <w:rsid w:val="00496AB4"/>
    <w:rsid w:val="004A2325"/>
    <w:rsid w:val="004A7EE2"/>
    <w:rsid w:val="004B33F5"/>
    <w:rsid w:val="004D4842"/>
    <w:rsid w:val="004D503D"/>
    <w:rsid w:val="004F30F8"/>
    <w:rsid w:val="00505B7D"/>
    <w:rsid w:val="00506DB8"/>
    <w:rsid w:val="00546019"/>
    <w:rsid w:val="00563E88"/>
    <w:rsid w:val="005641F9"/>
    <w:rsid w:val="00586B92"/>
    <w:rsid w:val="005A7516"/>
    <w:rsid w:val="005C6964"/>
    <w:rsid w:val="005C6B82"/>
    <w:rsid w:val="005E31D8"/>
    <w:rsid w:val="005E3EE1"/>
    <w:rsid w:val="005F6FDF"/>
    <w:rsid w:val="0060293B"/>
    <w:rsid w:val="00607A7B"/>
    <w:rsid w:val="00612A07"/>
    <w:rsid w:val="006416B7"/>
    <w:rsid w:val="006549F1"/>
    <w:rsid w:val="00655D2E"/>
    <w:rsid w:val="00656C15"/>
    <w:rsid w:val="00661BB5"/>
    <w:rsid w:val="006656B6"/>
    <w:rsid w:val="006716F4"/>
    <w:rsid w:val="006907D7"/>
    <w:rsid w:val="006A742A"/>
    <w:rsid w:val="006B29A6"/>
    <w:rsid w:val="006C4D96"/>
    <w:rsid w:val="006E54AD"/>
    <w:rsid w:val="00701431"/>
    <w:rsid w:val="00712F21"/>
    <w:rsid w:val="00726B3C"/>
    <w:rsid w:val="00730F88"/>
    <w:rsid w:val="00732DEE"/>
    <w:rsid w:val="0073698D"/>
    <w:rsid w:val="00741032"/>
    <w:rsid w:val="00763A47"/>
    <w:rsid w:val="007A325F"/>
    <w:rsid w:val="007B0FC8"/>
    <w:rsid w:val="007B1267"/>
    <w:rsid w:val="007B2050"/>
    <w:rsid w:val="007C77ED"/>
    <w:rsid w:val="007D1A33"/>
    <w:rsid w:val="007E2430"/>
    <w:rsid w:val="007F018F"/>
    <w:rsid w:val="0082255B"/>
    <w:rsid w:val="008318E6"/>
    <w:rsid w:val="00835D48"/>
    <w:rsid w:val="00874342"/>
    <w:rsid w:val="00882DEC"/>
    <w:rsid w:val="008C18AE"/>
    <w:rsid w:val="008C3904"/>
    <w:rsid w:val="008C4B9D"/>
    <w:rsid w:val="008C58D4"/>
    <w:rsid w:val="008D0335"/>
    <w:rsid w:val="008F4AA6"/>
    <w:rsid w:val="008F51CC"/>
    <w:rsid w:val="00934F03"/>
    <w:rsid w:val="009517A8"/>
    <w:rsid w:val="009607FE"/>
    <w:rsid w:val="00965D69"/>
    <w:rsid w:val="009770FD"/>
    <w:rsid w:val="00983FE4"/>
    <w:rsid w:val="00990F66"/>
    <w:rsid w:val="009A2178"/>
    <w:rsid w:val="009B748F"/>
    <w:rsid w:val="009D11E2"/>
    <w:rsid w:val="009D16C3"/>
    <w:rsid w:val="009D20CE"/>
    <w:rsid w:val="009E5087"/>
    <w:rsid w:val="00A01AF9"/>
    <w:rsid w:val="00A02583"/>
    <w:rsid w:val="00A33E76"/>
    <w:rsid w:val="00A404D4"/>
    <w:rsid w:val="00A41A29"/>
    <w:rsid w:val="00A54DAF"/>
    <w:rsid w:val="00AC6E58"/>
    <w:rsid w:val="00AD1B49"/>
    <w:rsid w:val="00AD3F90"/>
    <w:rsid w:val="00AF3AF9"/>
    <w:rsid w:val="00AF7A61"/>
    <w:rsid w:val="00B0486B"/>
    <w:rsid w:val="00B11515"/>
    <w:rsid w:val="00B1232B"/>
    <w:rsid w:val="00B23DE3"/>
    <w:rsid w:val="00B24581"/>
    <w:rsid w:val="00B30C03"/>
    <w:rsid w:val="00B33506"/>
    <w:rsid w:val="00B33D8C"/>
    <w:rsid w:val="00B609F9"/>
    <w:rsid w:val="00B72B78"/>
    <w:rsid w:val="00B8047C"/>
    <w:rsid w:val="00BA2544"/>
    <w:rsid w:val="00BB14D9"/>
    <w:rsid w:val="00BB7003"/>
    <w:rsid w:val="00BC4E28"/>
    <w:rsid w:val="00BE2405"/>
    <w:rsid w:val="00BF5EB8"/>
    <w:rsid w:val="00BF735B"/>
    <w:rsid w:val="00C004A5"/>
    <w:rsid w:val="00C0574A"/>
    <w:rsid w:val="00C05A4A"/>
    <w:rsid w:val="00C14AD6"/>
    <w:rsid w:val="00C16284"/>
    <w:rsid w:val="00C235BA"/>
    <w:rsid w:val="00C359AE"/>
    <w:rsid w:val="00C70CF6"/>
    <w:rsid w:val="00C81C46"/>
    <w:rsid w:val="00C96324"/>
    <w:rsid w:val="00CC7862"/>
    <w:rsid w:val="00CD235C"/>
    <w:rsid w:val="00CD7A65"/>
    <w:rsid w:val="00CE173D"/>
    <w:rsid w:val="00CE523D"/>
    <w:rsid w:val="00CF1488"/>
    <w:rsid w:val="00CF76AD"/>
    <w:rsid w:val="00D07613"/>
    <w:rsid w:val="00D131B9"/>
    <w:rsid w:val="00D13879"/>
    <w:rsid w:val="00D318DF"/>
    <w:rsid w:val="00D3768E"/>
    <w:rsid w:val="00D60C72"/>
    <w:rsid w:val="00D627CA"/>
    <w:rsid w:val="00D65FF3"/>
    <w:rsid w:val="00D81C41"/>
    <w:rsid w:val="00DC1A6E"/>
    <w:rsid w:val="00DC7227"/>
    <w:rsid w:val="00DE1DD3"/>
    <w:rsid w:val="00DE4C6B"/>
    <w:rsid w:val="00DF47CA"/>
    <w:rsid w:val="00E03170"/>
    <w:rsid w:val="00E15F38"/>
    <w:rsid w:val="00E20C84"/>
    <w:rsid w:val="00E26C46"/>
    <w:rsid w:val="00E30B78"/>
    <w:rsid w:val="00E30D78"/>
    <w:rsid w:val="00E33ED1"/>
    <w:rsid w:val="00E51728"/>
    <w:rsid w:val="00E6251D"/>
    <w:rsid w:val="00E646EB"/>
    <w:rsid w:val="00E64752"/>
    <w:rsid w:val="00E804AB"/>
    <w:rsid w:val="00E83363"/>
    <w:rsid w:val="00E973DD"/>
    <w:rsid w:val="00EB1417"/>
    <w:rsid w:val="00EB3981"/>
    <w:rsid w:val="00EB502A"/>
    <w:rsid w:val="00EC3BB4"/>
    <w:rsid w:val="00EE04AE"/>
    <w:rsid w:val="00F01E98"/>
    <w:rsid w:val="00F16DD6"/>
    <w:rsid w:val="00F21EA6"/>
    <w:rsid w:val="00F26E88"/>
    <w:rsid w:val="00F3229B"/>
    <w:rsid w:val="00F40269"/>
    <w:rsid w:val="00F60939"/>
    <w:rsid w:val="00F62A8F"/>
    <w:rsid w:val="00F8290D"/>
    <w:rsid w:val="00FB3A8F"/>
    <w:rsid w:val="00FB7BAA"/>
    <w:rsid w:val="00FC3829"/>
    <w:rsid w:val="00FD1DB1"/>
    <w:rsid w:val="019324CD"/>
    <w:rsid w:val="01A01793"/>
    <w:rsid w:val="01BE203F"/>
    <w:rsid w:val="01F1470B"/>
    <w:rsid w:val="02051C0F"/>
    <w:rsid w:val="02173882"/>
    <w:rsid w:val="02186213"/>
    <w:rsid w:val="0252555B"/>
    <w:rsid w:val="02943233"/>
    <w:rsid w:val="02A56C04"/>
    <w:rsid w:val="02AE402D"/>
    <w:rsid w:val="02BA1FB3"/>
    <w:rsid w:val="02BF5E1C"/>
    <w:rsid w:val="02C72CBA"/>
    <w:rsid w:val="02C81E57"/>
    <w:rsid w:val="02E97E8B"/>
    <w:rsid w:val="02F661FD"/>
    <w:rsid w:val="031E6267"/>
    <w:rsid w:val="034A288F"/>
    <w:rsid w:val="037C3620"/>
    <w:rsid w:val="04483701"/>
    <w:rsid w:val="044C64BB"/>
    <w:rsid w:val="045E7B65"/>
    <w:rsid w:val="04756133"/>
    <w:rsid w:val="048C5179"/>
    <w:rsid w:val="049B6A2C"/>
    <w:rsid w:val="04A474F1"/>
    <w:rsid w:val="04AF442C"/>
    <w:rsid w:val="04C730B9"/>
    <w:rsid w:val="04DC242B"/>
    <w:rsid w:val="04F90AA8"/>
    <w:rsid w:val="04FC5C08"/>
    <w:rsid w:val="05744BB6"/>
    <w:rsid w:val="05834B0B"/>
    <w:rsid w:val="05886FAB"/>
    <w:rsid w:val="05C018BB"/>
    <w:rsid w:val="05F16BDC"/>
    <w:rsid w:val="061F734D"/>
    <w:rsid w:val="064C4F02"/>
    <w:rsid w:val="069C06DD"/>
    <w:rsid w:val="06A80667"/>
    <w:rsid w:val="06BB26D3"/>
    <w:rsid w:val="06CD6919"/>
    <w:rsid w:val="06E7564F"/>
    <w:rsid w:val="06F77801"/>
    <w:rsid w:val="071308D1"/>
    <w:rsid w:val="071B5D76"/>
    <w:rsid w:val="07201472"/>
    <w:rsid w:val="07431919"/>
    <w:rsid w:val="075E071B"/>
    <w:rsid w:val="07966531"/>
    <w:rsid w:val="07AA2383"/>
    <w:rsid w:val="07D477EF"/>
    <w:rsid w:val="07DF1B99"/>
    <w:rsid w:val="082F733A"/>
    <w:rsid w:val="08395955"/>
    <w:rsid w:val="083F4578"/>
    <w:rsid w:val="08435D71"/>
    <w:rsid w:val="08743BE7"/>
    <w:rsid w:val="087F1D74"/>
    <w:rsid w:val="088246D7"/>
    <w:rsid w:val="08D36018"/>
    <w:rsid w:val="08F849D4"/>
    <w:rsid w:val="09772BD9"/>
    <w:rsid w:val="09886667"/>
    <w:rsid w:val="099E4FF8"/>
    <w:rsid w:val="09AA708F"/>
    <w:rsid w:val="09AB7DCE"/>
    <w:rsid w:val="09B00EA0"/>
    <w:rsid w:val="09F359A2"/>
    <w:rsid w:val="0A1D6885"/>
    <w:rsid w:val="0A1F1C40"/>
    <w:rsid w:val="0A2F16E1"/>
    <w:rsid w:val="0A6626CA"/>
    <w:rsid w:val="0A702833"/>
    <w:rsid w:val="0A953A26"/>
    <w:rsid w:val="0AA063EB"/>
    <w:rsid w:val="0AA30A0F"/>
    <w:rsid w:val="0AFD0744"/>
    <w:rsid w:val="0B025D1D"/>
    <w:rsid w:val="0B066436"/>
    <w:rsid w:val="0B132B65"/>
    <w:rsid w:val="0B1C3DC8"/>
    <w:rsid w:val="0B27227A"/>
    <w:rsid w:val="0B4A63AF"/>
    <w:rsid w:val="0B4E4E3C"/>
    <w:rsid w:val="0B583C67"/>
    <w:rsid w:val="0B772C06"/>
    <w:rsid w:val="0BA30B54"/>
    <w:rsid w:val="0BF44B4E"/>
    <w:rsid w:val="0BFD62D3"/>
    <w:rsid w:val="0C1819A2"/>
    <w:rsid w:val="0C44522B"/>
    <w:rsid w:val="0C634A1C"/>
    <w:rsid w:val="0C6D0C91"/>
    <w:rsid w:val="0C6E354C"/>
    <w:rsid w:val="0C980DEA"/>
    <w:rsid w:val="0CBC67D9"/>
    <w:rsid w:val="0CC8168B"/>
    <w:rsid w:val="0CE800CE"/>
    <w:rsid w:val="0D2018FE"/>
    <w:rsid w:val="0D2121CF"/>
    <w:rsid w:val="0D907348"/>
    <w:rsid w:val="0DBD3B45"/>
    <w:rsid w:val="0DBE57C7"/>
    <w:rsid w:val="0DCA1A2E"/>
    <w:rsid w:val="0DFF7F3B"/>
    <w:rsid w:val="0E040BDD"/>
    <w:rsid w:val="0E59371D"/>
    <w:rsid w:val="0E811E04"/>
    <w:rsid w:val="0EA12A1F"/>
    <w:rsid w:val="0EA25B43"/>
    <w:rsid w:val="0EC35F79"/>
    <w:rsid w:val="0EF57BB1"/>
    <w:rsid w:val="0F1370B0"/>
    <w:rsid w:val="0F2C7493"/>
    <w:rsid w:val="0F4D6764"/>
    <w:rsid w:val="0F4E52D8"/>
    <w:rsid w:val="0F5E4CAE"/>
    <w:rsid w:val="0F5F34A7"/>
    <w:rsid w:val="0F621E4E"/>
    <w:rsid w:val="0F832088"/>
    <w:rsid w:val="0FB22C5D"/>
    <w:rsid w:val="0FF76FE2"/>
    <w:rsid w:val="10022064"/>
    <w:rsid w:val="101B7F98"/>
    <w:rsid w:val="10241CA4"/>
    <w:rsid w:val="10296E5C"/>
    <w:rsid w:val="104348DD"/>
    <w:rsid w:val="105B38F1"/>
    <w:rsid w:val="105F56C6"/>
    <w:rsid w:val="1069314F"/>
    <w:rsid w:val="108E4B34"/>
    <w:rsid w:val="10964C36"/>
    <w:rsid w:val="109E758D"/>
    <w:rsid w:val="10ED674E"/>
    <w:rsid w:val="11064DF6"/>
    <w:rsid w:val="11223BA1"/>
    <w:rsid w:val="11762CCA"/>
    <w:rsid w:val="118E6731"/>
    <w:rsid w:val="119A08AA"/>
    <w:rsid w:val="11A7583D"/>
    <w:rsid w:val="11AE03F6"/>
    <w:rsid w:val="11B51503"/>
    <w:rsid w:val="11EB0F82"/>
    <w:rsid w:val="11EC2248"/>
    <w:rsid w:val="11EF10AD"/>
    <w:rsid w:val="12320CCC"/>
    <w:rsid w:val="12467868"/>
    <w:rsid w:val="1310011C"/>
    <w:rsid w:val="13191907"/>
    <w:rsid w:val="133B48B6"/>
    <w:rsid w:val="13430836"/>
    <w:rsid w:val="13771000"/>
    <w:rsid w:val="1379546C"/>
    <w:rsid w:val="138C29DF"/>
    <w:rsid w:val="13920BD5"/>
    <w:rsid w:val="141737F9"/>
    <w:rsid w:val="143D7CD2"/>
    <w:rsid w:val="144911BB"/>
    <w:rsid w:val="144F0E74"/>
    <w:rsid w:val="145E3ED5"/>
    <w:rsid w:val="146B7E1D"/>
    <w:rsid w:val="146F6EC9"/>
    <w:rsid w:val="149C2A74"/>
    <w:rsid w:val="14A24362"/>
    <w:rsid w:val="14B3232D"/>
    <w:rsid w:val="14D5025D"/>
    <w:rsid w:val="14F0329B"/>
    <w:rsid w:val="152754B3"/>
    <w:rsid w:val="154537CD"/>
    <w:rsid w:val="156E7918"/>
    <w:rsid w:val="15E16C1D"/>
    <w:rsid w:val="15EF62F8"/>
    <w:rsid w:val="15FD3D02"/>
    <w:rsid w:val="1607627A"/>
    <w:rsid w:val="160D0CD7"/>
    <w:rsid w:val="160E172B"/>
    <w:rsid w:val="166F0E09"/>
    <w:rsid w:val="16A25900"/>
    <w:rsid w:val="16E03549"/>
    <w:rsid w:val="16EA607D"/>
    <w:rsid w:val="174F42A7"/>
    <w:rsid w:val="17B67222"/>
    <w:rsid w:val="17F951D5"/>
    <w:rsid w:val="18013B24"/>
    <w:rsid w:val="184B0D37"/>
    <w:rsid w:val="18930DDB"/>
    <w:rsid w:val="18A84BB9"/>
    <w:rsid w:val="18A92369"/>
    <w:rsid w:val="18B2703E"/>
    <w:rsid w:val="18B6115B"/>
    <w:rsid w:val="18BC5E0D"/>
    <w:rsid w:val="18FD339E"/>
    <w:rsid w:val="193166F0"/>
    <w:rsid w:val="194972C8"/>
    <w:rsid w:val="19673107"/>
    <w:rsid w:val="19BC38BF"/>
    <w:rsid w:val="1A1D582F"/>
    <w:rsid w:val="1A94600C"/>
    <w:rsid w:val="1ACC4B66"/>
    <w:rsid w:val="1B1419B0"/>
    <w:rsid w:val="1B1479C6"/>
    <w:rsid w:val="1B47251E"/>
    <w:rsid w:val="1B96580E"/>
    <w:rsid w:val="1BBA0ADF"/>
    <w:rsid w:val="1BE0300F"/>
    <w:rsid w:val="1BE823B5"/>
    <w:rsid w:val="1BE9322F"/>
    <w:rsid w:val="1C037D9A"/>
    <w:rsid w:val="1C126AD8"/>
    <w:rsid w:val="1C1A366F"/>
    <w:rsid w:val="1C7622D6"/>
    <w:rsid w:val="1C937F05"/>
    <w:rsid w:val="1C9B5198"/>
    <w:rsid w:val="1C9F0EF2"/>
    <w:rsid w:val="1CA27631"/>
    <w:rsid w:val="1CA43CAE"/>
    <w:rsid w:val="1CBE3573"/>
    <w:rsid w:val="1CCB2628"/>
    <w:rsid w:val="1CCE01C6"/>
    <w:rsid w:val="1CFA7EDD"/>
    <w:rsid w:val="1D045F3C"/>
    <w:rsid w:val="1D6F3BDE"/>
    <w:rsid w:val="1DA759B3"/>
    <w:rsid w:val="1DA95544"/>
    <w:rsid w:val="1DB1249F"/>
    <w:rsid w:val="1DE3740B"/>
    <w:rsid w:val="1DF41DC6"/>
    <w:rsid w:val="1E3E7DBA"/>
    <w:rsid w:val="1E664AFB"/>
    <w:rsid w:val="1E774A1E"/>
    <w:rsid w:val="1E7A3657"/>
    <w:rsid w:val="1EA375B6"/>
    <w:rsid w:val="1EBF0FD5"/>
    <w:rsid w:val="1EE10522"/>
    <w:rsid w:val="1F005043"/>
    <w:rsid w:val="1F5F50C6"/>
    <w:rsid w:val="1F6012F2"/>
    <w:rsid w:val="1F7E49F4"/>
    <w:rsid w:val="1F9C2B57"/>
    <w:rsid w:val="1FA33E86"/>
    <w:rsid w:val="1FBB326E"/>
    <w:rsid w:val="1FDD1DBA"/>
    <w:rsid w:val="1FEC4219"/>
    <w:rsid w:val="1FFA3757"/>
    <w:rsid w:val="1FFA5DCF"/>
    <w:rsid w:val="1FFC60D4"/>
    <w:rsid w:val="200406FF"/>
    <w:rsid w:val="20254F13"/>
    <w:rsid w:val="202573E7"/>
    <w:rsid w:val="2026376B"/>
    <w:rsid w:val="20457814"/>
    <w:rsid w:val="206652F2"/>
    <w:rsid w:val="208D5577"/>
    <w:rsid w:val="20AC2280"/>
    <w:rsid w:val="20D82EBA"/>
    <w:rsid w:val="20F66755"/>
    <w:rsid w:val="210371C2"/>
    <w:rsid w:val="211616F4"/>
    <w:rsid w:val="218708DA"/>
    <w:rsid w:val="21A55E97"/>
    <w:rsid w:val="21AC0B57"/>
    <w:rsid w:val="21AE4953"/>
    <w:rsid w:val="21F31730"/>
    <w:rsid w:val="220056C8"/>
    <w:rsid w:val="220A7303"/>
    <w:rsid w:val="22142FE6"/>
    <w:rsid w:val="221F12A7"/>
    <w:rsid w:val="22310BD5"/>
    <w:rsid w:val="224C3CBE"/>
    <w:rsid w:val="224F1376"/>
    <w:rsid w:val="225B230A"/>
    <w:rsid w:val="22EA6187"/>
    <w:rsid w:val="23275BEF"/>
    <w:rsid w:val="23286A4F"/>
    <w:rsid w:val="23320397"/>
    <w:rsid w:val="236F2552"/>
    <w:rsid w:val="23714589"/>
    <w:rsid w:val="239D360E"/>
    <w:rsid w:val="23AF54CF"/>
    <w:rsid w:val="23B45D1F"/>
    <w:rsid w:val="23D35BF6"/>
    <w:rsid w:val="23E22257"/>
    <w:rsid w:val="240527F7"/>
    <w:rsid w:val="240C1D4A"/>
    <w:rsid w:val="242C1A40"/>
    <w:rsid w:val="245F1BD0"/>
    <w:rsid w:val="248C0852"/>
    <w:rsid w:val="24B70A06"/>
    <w:rsid w:val="24F46125"/>
    <w:rsid w:val="25205C46"/>
    <w:rsid w:val="25533303"/>
    <w:rsid w:val="259F02F7"/>
    <w:rsid w:val="25AE4B8C"/>
    <w:rsid w:val="25D527C4"/>
    <w:rsid w:val="25FC3388"/>
    <w:rsid w:val="26341C2C"/>
    <w:rsid w:val="263F2B3A"/>
    <w:rsid w:val="26632476"/>
    <w:rsid w:val="266A5DAC"/>
    <w:rsid w:val="267A740D"/>
    <w:rsid w:val="26BD5F1E"/>
    <w:rsid w:val="26C7011A"/>
    <w:rsid w:val="26CC2DAC"/>
    <w:rsid w:val="26D6601F"/>
    <w:rsid w:val="27126767"/>
    <w:rsid w:val="27400487"/>
    <w:rsid w:val="27627553"/>
    <w:rsid w:val="277B56B7"/>
    <w:rsid w:val="27815C64"/>
    <w:rsid w:val="278B532A"/>
    <w:rsid w:val="27D76C58"/>
    <w:rsid w:val="27FE5B3F"/>
    <w:rsid w:val="28AA43D3"/>
    <w:rsid w:val="28AC3E2F"/>
    <w:rsid w:val="28BA21CB"/>
    <w:rsid w:val="28E012E6"/>
    <w:rsid w:val="2902118B"/>
    <w:rsid w:val="290D0CCC"/>
    <w:rsid w:val="290E10C8"/>
    <w:rsid w:val="29280EE7"/>
    <w:rsid w:val="2960440F"/>
    <w:rsid w:val="2971732D"/>
    <w:rsid w:val="29AE12AF"/>
    <w:rsid w:val="2A351FC9"/>
    <w:rsid w:val="2A5C34EE"/>
    <w:rsid w:val="2AC91EA1"/>
    <w:rsid w:val="2ADB60CC"/>
    <w:rsid w:val="2AFE36FF"/>
    <w:rsid w:val="2B8233B6"/>
    <w:rsid w:val="2B87524C"/>
    <w:rsid w:val="2BA26C86"/>
    <w:rsid w:val="2BBB42E3"/>
    <w:rsid w:val="2BE37ECF"/>
    <w:rsid w:val="2C285BD6"/>
    <w:rsid w:val="2CF27C34"/>
    <w:rsid w:val="2D063205"/>
    <w:rsid w:val="2D2974D0"/>
    <w:rsid w:val="2DD82165"/>
    <w:rsid w:val="2E2C58B7"/>
    <w:rsid w:val="2E681487"/>
    <w:rsid w:val="2ED8418C"/>
    <w:rsid w:val="2EDF7C6B"/>
    <w:rsid w:val="2EF530F4"/>
    <w:rsid w:val="2EF8116D"/>
    <w:rsid w:val="2F0209BF"/>
    <w:rsid w:val="2F5977AF"/>
    <w:rsid w:val="2F8D0465"/>
    <w:rsid w:val="2FD7097D"/>
    <w:rsid w:val="2FE41FCA"/>
    <w:rsid w:val="2FF02360"/>
    <w:rsid w:val="2FFE02A8"/>
    <w:rsid w:val="2FFF2DD9"/>
    <w:rsid w:val="307266EC"/>
    <w:rsid w:val="30F4784A"/>
    <w:rsid w:val="312710D6"/>
    <w:rsid w:val="312B5C00"/>
    <w:rsid w:val="313116A3"/>
    <w:rsid w:val="3135255C"/>
    <w:rsid w:val="316E655E"/>
    <w:rsid w:val="317A3A9F"/>
    <w:rsid w:val="31A614AB"/>
    <w:rsid w:val="31E10F7F"/>
    <w:rsid w:val="321847DE"/>
    <w:rsid w:val="3244221A"/>
    <w:rsid w:val="325E2797"/>
    <w:rsid w:val="32812BDD"/>
    <w:rsid w:val="328D05B6"/>
    <w:rsid w:val="329634E0"/>
    <w:rsid w:val="32996369"/>
    <w:rsid w:val="32D61C27"/>
    <w:rsid w:val="32EE2BEA"/>
    <w:rsid w:val="32F4251B"/>
    <w:rsid w:val="332F1DAB"/>
    <w:rsid w:val="333C70E9"/>
    <w:rsid w:val="334150DD"/>
    <w:rsid w:val="33A25F00"/>
    <w:rsid w:val="33B744E4"/>
    <w:rsid w:val="33C44AC9"/>
    <w:rsid w:val="33FD1320"/>
    <w:rsid w:val="342C1145"/>
    <w:rsid w:val="348611A0"/>
    <w:rsid w:val="34F61D2C"/>
    <w:rsid w:val="350B0E7A"/>
    <w:rsid w:val="35110329"/>
    <w:rsid w:val="354C6046"/>
    <w:rsid w:val="357036AA"/>
    <w:rsid w:val="35C13FB3"/>
    <w:rsid w:val="35C26623"/>
    <w:rsid w:val="35C6410A"/>
    <w:rsid w:val="35F51C47"/>
    <w:rsid w:val="36123535"/>
    <w:rsid w:val="361525AE"/>
    <w:rsid w:val="3633310E"/>
    <w:rsid w:val="364D709E"/>
    <w:rsid w:val="36803958"/>
    <w:rsid w:val="368B0581"/>
    <w:rsid w:val="369371EC"/>
    <w:rsid w:val="36D76587"/>
    <w:rsid w:val="37491D26"/>
    <w:rsid w:val="37532122"/>
    <w:rsid w:val="37575604"/>
    <w:rsid w:val="376A4481"/>
    <w:rsid w:val="37AE5CFA"/>
    <w:rsid w:val="37B07FF8"/>
    <w:rsid w:val="37BF4C02"/>
    <w:rsid w:val="37C52490"/>
    <w:rsid w:val="37CA7C8E"/>
    <w:rsid w:val="37DA419C"/>
    <w:rsid w:val="38200909"/>
    <w:rsid w:val="382C4B79"/>
    <w:rsid w:val="39236840"/>
    <w:rsid w:val="3954085D"/>
    <w:rsid w:val="39A13D89"/>
    <w:rsid w:val="39A30755"/>
    <w:rsid w:val="39A61E28"/>
    <w:rsid w:val="39AC6819"/>
    <w:rsid w:val="39CA2CA1"/>
    <w:rsid w:val="39E71A65"/>
    <w:rsid w:val="39F90587"/>
    <w:rsid w:val="3A096596"/>
    <w:rsid w:val="3A0F3616"/>
    <w:rsid w:val="3A546D7D"/>
    <w:rsid w:val="3A6A650E"/>
    <w:rsid w:val="3AA75A12"/>
    <w:rsid w:val="3AD3796A"/>
    <w:rsid w:val="3AD47F56"/>
    <w:rsid w:val="3AE94A49"/>
    <w:rsid w:val="3B162CD1"/>
    <w:rsid w:val="3B191A5E"/>
    <w:rsid w:val="3B415F82"/>
    <w:rsid w:val="3B472C03"/>
    <w:rsid w:val="3B8409A2"/>
    <w:rsid w:val="3BA54127"/>
    <w:rsid w:val="3BCE0FEE"/>
    <w:rsid w:val="3C1C7F92"/>
    <w:rsid w:val="3C3A21A5"/>
    <w:rsid w:val="3C6E18AB"/>
    <w:rsid w:val="3C90181D"/>
    <w:rsid w:val="3C9738E7"/>
    <w:rsid w:val="3C9C7C85"/>
    <w:rsid w:val="3CB5783E"/>
    <w:rsid w:val="3CEF378F"/>
    <w:rsid w:val="3D147C8A"/>
    <w:rsid w:val="3D5B0E99"/>
    <w:rsid w:val="3D6002D6"/>
    <w:rsid w:val="3D6B0211"/>
    <w:rsid w:val="3DA353B7"/>
    <w:rsid w:val="3DC35087"/>
    <w:rsid w:val="3DC42F1C"/>
    <w:rsid w:val="3E060875"/>
    <w:rsid w:val="3E0D654E"/>
    <w:rsid w:val="3E11250B"/>
    <w:rsid w:val="3E356A89"/>
    <w:rsid w:val="3E3E7B0F"/>
    <w:rsid w:val="3E5D4CAF"/>
    <w:rsid w:val="3E7F1F71"/>
    <w:rsid w:val="3E9071FA"/>
    <w:rsid w:val="3E923399"/>
    <w:rsid w:val="3ECC4020"/>
    <w:rsid w:val="3F6148FA"/>
    <w:rsid w:val="3FCC3986"/>
    <w:rsid w:val="40141FEA"/>
    <w:rsid w:val="40211172"/>
    <w:rsid w:val="40236765"/>
    <w:rsid w:val="40400AE5"/>
    <w:rsid w:val="406C4567"/>
    <w:rsid w:val="409265FA"/>
    <w:rsid w:val="40947F73"/>
    <w:rsid w:val="409528BD"/>
    <w:rsid w:val="40A274DA"/>
    <w:rsid w:val="40A95150"/>
    <w:rsid w:val="40B42B9B"/>
    <w:rsid w:val="40EF7A5C"/>
    <w:rsid w:val="40F51EAB"/>
    <w:rsid w:val="411F5B63"/>
    <w:rsid w:val="41202935"/>
    <w:rsid w:val="41335227"/>
    <w:rsid w:val="41774C8D"/>
    <w:rsid w:val="417A41A4"/>
    <w:rsid w:val="41873A8E"/>
    <w:rsid w:val="41A1251F"/>
    <w:rsid w:val="4219392F"/>
    <w:rsid w:val="42850502"/>
    <w:rsid w:val="429301DF"/>
    <w:rsid w:val="42BE37B7"/>
    <w:rsid w:val="42DE60B4"/>
    <w:rsid w:val="43074820"/>
    <w:rsid w:val="433150C7"/>
    <w:rsid w:val="4362020B"/>
    <w:rsid w:val="43872EF3"/>
    <w:rsid w:val="43BE45A9"/>
    <w:rsid w:val="43C00907"/>
    <w:rsid w:val="43F929DE"/>
    <w:rsid w:val="44024C0B"/>
    <w:rsid w:val="44204BF6"/>
    <w:rsid w:val="443646FF"/>
    <w:rsid w:val="445006F7"/>
    <w:rsid w:val="44627131"/>
    <w:rsid w:val="446C51CF"/>
    <w:rsid w:val="44974E06"/>
    <w:rsid w:val="44B53B5D"/>
    <w:rsid w:val="44DF4374"/>
    <w:rsid w:val="44FB25B4"/>
    <w:rsid w:val="45230424"/>
    <w:rsid w:val="452F555C"/>
    <w:rsid w:val="4534167F"/>
    <w:rsid w:val="45535634"/>
    <w:rsid w:val="456F0825"/>
    <w:rsid w:val="45916920"/>
    <w:rsid w:val="45AB7D20"/>
    <w:rsid w:val="45B113BA"/>
    <w:rsid w:val="45BB2794"/>
    <w:rsid w:val="45BD3DE8"/>
    <w:rsid w:val="45DA2E1C"/>
    <w:rsid w:val="45ED3041"/>
    <w:rsid w:val="463D31B1"/>
    <w:rsid w:val="464F5987"/>
    <w:rsid w:val="46576DFC"/>
    <w:rsid w:val="465E64E9"/>
    <w:rsid w:val="46BD2740"/>
    <w:rsid w:val="46F84639"/>
    <w:rsid w:val="470937A8"/>
    <w:rsid w:val="47470936"/>
    <w:rsid w:val="474D4586"/>
    <w:rsid w:val="477E1E3B"/>
    <w:rsid w:val="47A75304"/>
    <w:rsid w:val="47BF7386"/>
    <w:rsid w:val="47D24A11"/>
    <w:rsid w:val="48761B22"/>
    <w:rsid w:val="48B06B74"/>
    <w:rsid w:val="48C3432A"/>
    <w:rsid w:val="48EF529E"/>
    <w:rsid w:val="48F47456"/>
    <w:rsid w:val="49044831"/>
    <w:rsid w:val="491351AA"/>
    <w:rsid w:val="49184A21"/>
    <w:rsid w:val="495B2921"/>
    <w:rsid w:val="49A2695F"/>
    <w:rsid w:val="49CD557F"/>
    <w:rsid w:val="49EE49AF"/>
    <w:rsid w:val="4A090090"/>
    <w:rsid w:val="4A384882"/>
    <w:rsid w:val="4A6172BE"/>
    <w:rsid w:val="4A687586"/>
    <w:rsid w:val="4A8E1D5D"/>
    <w:rsid w:val="4AA34E64"/>
    <w:rsid w:val="4AD4086D"/>
    <w:rsid w:val="4B111BAD"/>
    <w:rsid w:val="4B1357B0"/>
    <w:rsid w:val="4B3314CD"/>
    <w:rsid w:val="4B551B2A"/>
    <w:rsid w:val="4B74362B"/>
    <w:rsid w:val="4B7C1E34"/>
    <w:rsid w:val="4BB11170"/>
    <w:rsid w:val="4BB6223C"/>
    <w:rsid w:val="4BC449B1"/>
    <w:rsid w:val="4C0F19C2"/>
    <w:rsid w:val="4C29271E"/>
    <w:rsid w:val="4C440C36"/>
    <w:rsid w:val="4C5B4F0C"/>
    <w:rsid w:val="4C772FF7"/>
    <w:rsid w:val="4C7D64C5"/>
    <w:rsid w:val="4CB07177"/>
    <w:rsid w:val="4D084DBD"/>
    <w:rsid w:val="4D2002CD"/>
    <w:rsid w:val="4D2A3AD1"/>
    <w:rsid w:val="4D612A43"/>
    <w:rsid w:val="4D800F8D"/>
    <w:rsid w:val="4D8621D2"/>
    <w:rsid w:val="4D8F7467"/>
    <w:rsid w:val="4D951367"/>
    <w:rsid w:val="4DB62D50"/>
    <w:rsid w:val="4DC46C8D"/>
    <w:rsid w:val="4DD81067"/>
    <w:rsid w:val="4E1164EB"/>
    <w:rsid w:val="4E17456C"/>
    <w:rsid w:val="4E2A29EA"/>
    <w:rsid w:val="4E2D2D53"/>
    <w:rsid w:val="4E376615"/>
    <w:rsid w:val="4E401D13"/>
    <w:rsid w:val="4E5B6E91"/>
    <w:rsid w:val="4E6A4FE3"/>
    <w:rsid w:val="4E825910"/>
    <w:rsid w:val="4E851D53"/>
    <w:rsid w:val="4ED13991"/>
    <w:rsid w:val="4ED576B1"/>
    <w:rsid w:val="4EEF00E8"/>
    <w:rsid w:val="4F033908"/>
    <w:rsid w:val="4F175D30"/>
    <w:rsid w:val="4F500131"/>
    <w:rsid w:val="4F625E52"/>
    <w:rsid w:val="4F6B04E2"/>
    <w:rsid w:val="4FB51550"/>
    <w:rsid w:val="4FB8344C"/>
    <w:rsid w:val="4FBA0EC2"/>
    <w:rsid w:val="4FF50141"/>
    <w:rsid w:val="50146B17"/>
    <w:rsid w:val="50234BD4"/>
    <w:rsid w:val="50437869"/>
    <w:rsid w:val="50515C48"/>
    <w:rsid w:val="50E67438"/>
    <w:rsid w:val="51764F12"/>
    <w:rsid w:val="519E0809"/>
    <w:rsid w:val="51C57070"/>
    <w:rsid w:val="51EE4E18"/>
    <w:rsid w:val="52262ADF"/>
    <w:rsid w:val="52325AB0"/>
    <w:rsid w:val="523340AB"/>
    <w:rsid w:val="5278376A"/>
    <w:rsid w:val="527C6CA6"/>
    <w:rsid w:val="52A43183"/>
    <w:rsid w:val="52B606B4"/>
    <w:rsid w:val="52CF035E"/>
    <w:rsid w:val="52EA509D"/>
    <w:rsid w:val="53161DA4"/>
    <w:rsid w:val="53205933"/>
    <w:rsid w:val="53464074"/>
    <w:rsid w:val="536572CF"/>
    <w:rsid w:val="53A527A0"/>
    <w:rsid w:val="53BB1CBA"/>
    <w:rsid w:val="53C51B6B"/>
    <w:rsid w:val="53E74ACB"/>
    <w:rsid w:val="542E24C4"/>
    <w:rsid w:val="544E7E74"/>
    <w:rsid w:val="545372DB"/>
    <w:rsid w:val="5469101C"/>
    <w:rsid w:val="54703058"/>
    <w:rsid w:val="547E152C"/>
    <w:rsid w:val="54970B82"/>
    <w:rsid w:val="54C7080F"/>
    <w:rsid w:val="54D64FA3"/>
    <w:rsid w:val="54FA682A"/>
    <w:rsid w:val="55245CE2"/>
    <w:rsid w:val="553E6ED1"/>
    <w:rsid w:val="556B506D"/>
    <w:rsid w:val="559B2B61"/>
    <w:rsid w:val="56082AFA"/>
    <w:rsid w:val="561978C0"/>
    <w:rsid w:val="562D203A"/>
    <w:rsid w:val="569B49D2"/>
    <w:rsid w:val="57072538"/>
    <w:rsid w:val="57184AEF"/>
    <w:rsid w:val="57247313"/>
    <w:rsid w:val="57581979"/>
    <w:rsid w:val="5782158D"/>
    <w:rsid w:val="57933D93"/>
    <w:rsid w:val="57BD6731"/>
    <w:rsid w:val="57F11B71"/>
    <w:rsid w:val="57F15761"/>
    <w:rsid w:val="58002355"/>
    <w:rsid w:val="581B3EC8"/>
    <w:rsid w:val="58421880"/>
    <w:rsid w:val="585C484E"/>
    <w:rsid w:val="587E5FEA"/>
    <w:rsid w:val="58A762AD"/>
    <w:rsid w:val="58B11374"/>
    <w:rsid w:val="58C228A4"/>
    <w:rsid w:val="59002B87"/>
    <w:rsid w:val="592776F0"/>
    <w:rsid w:val="593224B6"/>
    <w:rsid w:val="59605E5A"/>
    <w:rsid w:val="59972ED6"/>
    <w:rsid w:val="59D16B28"/>
    <w:rsid w:val="59F56BB5"/>
    <w:rsid w:val="5A447B2F"/>
    <w:rsid w:val="5A7A288A"/>
    <w:rsid w:val="5AC12E93"/>
    <w:rsid w:val="5AD4163D"/>
    <w:rsid w:val="5B0660E7"/>
    <w:rsid w:val="5B3F58E6"/>
    <w:rsid w:val="5B7C7CA2"/>
    <w:rsid w:val="5C1664CF"/>
    <w:rsid w:val="5C300CAB"/>
    <w:rsid w:val="5C5504DB"/>
    <w:rsid w:val="5C5A20F1"/>
    <w:rsid w:val="5C6A27A8"/>
    <w:rsid w:val="5CD05DD3"/>
    <w:rsid w:val="5CEB05B4"/>
    <w:rsid w:val="5D133FA5"/>
    <w:rsid w:val="5D282DBC"/>
    <w:rsid w:val="5D3E4715"/>
    <w:rsid w:val="5D44510F"/>
    <w:rsid w:val="5D493172"/>
    <w:rsid w:val="5D69550A"/>
    <w:rsid w:val="5DBE35F4"/>
    <w:rsid w:val="5DD00C6D"/>
    <w:rsid w:val="5DDA5DA1"/>
    <w:rsid w:val="5DF37706"/>
    <w:rsid w:val="5E0934BE"/>
    <w:rsid w:val="5E25442E"/>
    <w:rsid w:val="5E294100"/>
    <w:rsid w:val="5E2C6D60"/>
    <w:rsid w:val="5E5F66B1"/>
    <w:rsid w:val="5E7E618B"/>
    <w:rsid w:val="5E906EE7"/>
    <w:rsid w:val="5EA205D7"/>
    <w:rsid w:val="5EEA0755"/>
    <w:rsid w:val="5F145B41"/>
    <w:rsid w:val="5F355027"/>
    <w:rsid w:val="5F3761F4"/>
    <w:rsid w:val="5F4A46CC"/>
    <w:rsid w:val="5F6A4011"/>
    <w:rsid w:val="5F813263"/>
    <w:rsid w:val="5FAF04EE"/>
    <w:rsid w:val="60132E22"/>
    <w:rsid w:val="60192BD8"/>
    <w:rsid w:val="609910D3"/>
    <w:rsid w:val="609A6929"/>
    <w:rsid w:val="609F021E"/>
    <w:rsid w:val="60AE0D55"/>
    <w:rsid w:val="60B8077C"/>
    <w:rsid w:val="60C02211"/>
    <w:rsid w:val="60CD7341"/>
    <w:rsid w:val="60CE0506"/>
    <w:rsid w:val="614372B3"/>
    <w:rsid w:val="6162299C"/>
    <w:rsid w:val="61641B8A"/>
    <w:rsid w:val="61702AE3"/>
    <w:rsid w:val="617F0E98"/>
    <w:rsid w:val="61827531"/>
    <w:rsid w:val="61876F83"/>
    <w:rsid w:val="61947ECA"/>
    <w:rsid w:val="619E6C25"/>
    <w:rsid w:val="61A36571"/>
    <w:rsid w:val="61A61BDB"/>
    <w:rsid w:val="61CE048A"/>
    <w:rsid w:val="61E45972"/>
    <w:rsid w:val="61EC671C"/>
    <w:rsid w:val="61ED1492"/>
    <w:rsid w:val="620F08F9"/>
    <w:rsid w:val="622A638C"/>
    <w:rsid w:val="62510F16"/>
    <w:rsid w:val="625F641C"/>
    <w:rsid w:val="627A4F69"/>
    <w:rsid w:val="62851B05"/>
    <w:rsid w:val="62D21C77"/>
    <w:rsid w:val="62D27C55"/>
    <w:rsid w:val="62D71185"/>
    <w:rsid w:val="62DC7711"/>
    <w:rsid w:val="62DF1384"/>
    <w:rsid w:val="636C22E0"/>
    <w:rsid w:val="637E12A8"/>
    <w:rsid w:val="638F1C77"/>
    <w:rsid w:val="64052DD2"/>
    <w:rsid w:val="6405402D"/>
    <w:rsid w:val="64285E45"/>
    <w:rsid w:val="643E4738"/>
    <w:rsid w:val="64405DFF"/>
    <w:rsid w:val="64A02DE9"/>
    <w:rsid w:val="64B85D48"/>
    <w:rsid w:val="65400607"/>
    <w:rsid w:val="655734EB"/>
    <w:rsid w:val="658956B8"/>
    <w:rsid w:val="65B23A95"/>
    <w:rsid w:val="65F523C9"/>
    <w:rsid w:val="66201778"/>
    <w:rsid w:val="66222DA0"/>
    <w:rsid w:val="662E2487"/>
    <w:rsid w:val="664273C9"/>
    <w:rsid w:val="665037E9"/>
    <w:rsid w:val="66745842"/>
    <w:rsid w:val="66B02E22"/>
    <w:rsid w:val="66B32B11"/>
    <w:rsid w:val="66D23DE6"/>
    <w:rsid w:val="66DF5E70"/>
    <w:rsid w:val="67592347"/>
    <w:rsid w:val="67697863"/>
    <w:rsid w:val="677759C1"/>
    <w:rsid w:val="678470A5"/>
    <w:rsid w:val="67B80F1A"/>
    <w:rsid w:val="67D575B5"/>
    <w:rsid w:val="68522E1F"/>
    <w:rsid w:val="68765CDF"/>
    <w:rsid w:val="68DE6680"/>
    <w:rsid w:val="68FE1138"/>
    <w:rsid w:val="69235B9E"/>
    <w:rsid w:val="69286A27"/>
    <w:rsid w:val="69352C9D"/>
    <w:rsid w:val="693A2927"/>
    <w:rsid w:val="69797638"/>
    <w:rsid w:val="69C01B71"/>
    <w:rsid w:val="69C12443"/>
    <w:rsid w:val="69C21092"/>
    <w:rsid w:val="69C41D60"/>
    <w:rsid w:val="69F2531F"/>
    <w:rsid w:val="69F93B4D"/>
    <w:rsid w:val="69F97E34"/>
    <w:rsid w:val="69FA1783"/>
    <w:rsid w:val="6A0519CD"/>
    <w:rsid w:val="6A257537"/>
    <w:rsid w:val="6A2806D6"/>
    <w:rsid w:val="6A364824"/>
    <w:rsid w:val="6A435395"/>
    <w:rsid w:val="6AF82422"/>
    <w:rsid w:val="6B121D6E"/>
    <w:rsid w:val="6B2F726A"/>
    <w:rsid w:val="6B734C71"/>
    <w:rsid w:val="6B9C5347"/>
    <w:rsid w:val="6BB7273B"/>
    <w:rsid w:val="6BED21B4"/>
    <w:rsid w:val="6C350A63"/>
    <w:rsid w:val="6C75757A"/>
    <w:rsid w:val="6C79039E"/>
    <w:rsid w:val="6C9E3062"/>
    <w:rsid w:val="6CCE563F"/>
    <w:rsid w:val="6D1A7913"/>
    <w:rsid w:val="6D222ACE"/>
    <w:rsid w:val="6D3F234A"/>
    <w:rsid w:val="6D4668E4"/>
    <w:rsid w:val="6D5005CB"/>
    <w:rsid w:val="6D5A1457"/>
    <w:rsid w:val="6D6A4FE1"/>
    <w:rsid w:val="6D8C2988"/>
    <w:rsid w:val="6D9F00B1"/>
    <w:rsid w:val="6DA32765"/>
    <w:rsid w:val="6DA935B2"/>
    <w:rsid w:val="6DC71E7C"/>
    <w:rsid w:val="6E1F19F6"/>
    <w:rsid w:val="6E4E00D9"/>
    <w:rsid w:val="6E752738"/>
    <w:rsid w:val="6E770934"/>
    <w:rsid w:val="6E883316"/>
    <w:rsid w:val="6EC05667"/>
    <w:rsid w:val="6EE710E3"/>
    <w:rsid w:val="6F07240B"/>
    <w:rsid w:val="6F6C3B3B"/>
    <w:rsid w:val="6FAC0A0A"/>
    <w:rsid w:val="6FE96E67"/>
    <w:rsid w:val="705D6773"/>
    <w:rsid w:val="706460F3"/>
    <w:rsid w:val="70A93302"/>
    <w:rsid w:val="70F63177"/>
    <w:rsid w:val="71252E36"/>
    <w:rsid w:val="712B75EA"/>
    <w:rsid w:val="71431D74"/>
    <w:rsid w:val="71672A9D"/>
    <w:rsid w:val="71812F78"/>
    <w:rsid w:val="719349F0"/>
    <w:rsid w:val="71A81E1F"/>
    <w:rsid w:val="71EC3F35"/>
    <w:rsid w:val="721D609C"/>
    <w:rsid w:val="72603BFB"/>
    <w:rsid w:val="72624796"/>
    <w:rsid w:val="727C25E8"/>
    <w:rsid w:val="72903B20"/>
    <w:rsid w:val="729603F5"/>
    <w:rsid w:val="72A717AA"/>
    <w:rsid w:val="72AF767A"/>
    <w:rsid w:val="72B22836"/>
    <w:rsid w:val="72CB5942"/>
    <w:rsid w:val="72E4044B"/>
    <w:rsid w:val="731853E2"/>
    <w:rsid w:val="731C7207"/>
    <w:rsid w:val="732669DD"/>
    <w:rsid w:val="732D20A1"/>
    <w:rsid w:val="736E20D9"/>
    <w:rsid w:val="73C4565F"/>
    <w:rsid w:val="73E45F9C"/>
    <w:rsid w:val="74A44A55"/>
    <w:rsid w:val="74C06B73"/>
    <w:rsid w:val="752F7DFD"/>
    <w:rsid w:val="753F63D1"/>
    <w:rsid w:val="75AE427F"/>
    <w:rsid w:val="75C14D5F"/>
    <w:rsid w:val="75C35FA3"/>
    <w:rsid w:val="75D9256D"/>
    <w:rsid w:val="762B0FAA"/>
    <w:rsid w:val="764364A0"/>
    <w:rsid w:val="76483B19"/>
    <w:rsid w:val="76645876"/>
    <w:rsid w:val="76B52D1C"/>
    <w:rsid w:val="76C667B5"/>
    <w:rsid w:val="77033848"/>
    <w:rsid w:val="77236D24"/>
    <w:rsid w:val="774C1871"/>
    <w:rsid w:val="774E5B87"/>
    <w:rsid w:val="779B1D4F"/>
    <w:rsid w:val="77D57CDB"/>
    <w:rsid w:val="781E3EF3"/>
    <w:rsid w:val="78436C2C"/>
    <w:rsid w:val="785221DB"/>
    <w:rsid w:val="785956A8"/>
    <w:rsid w:val="788D4889"/>
    <w:rsid w:val="789E4C4A"/>
    <w:rsid w:val="78B17466"/>
    <w:rsid w:val="78B24398"/>
    <w:rsid w:val="78E700EB"/>
    <w:rsid w:val="790D3FCA"/>
    <w:rsid w:val="79545A2B"/>
    <w:rsid w:val="798A3BF5"/>
    <w:rsid w:val="79A03625"/>
    <w:rsid w:val="79B94225"/>
    <w:rsid w:val="7A524C01"/>
    <w:rsid w:val="7AA43203"/>
    <w:rsid w:val="7AC07EA7"/>
    <w:rsid w:val="7AC12C09"/>
    <w:rsid w:val="7AF13A73"/>
    <w:rsid w:val="7B0263BD"/>
    <w:rsid w:val="7B072BAA"/>
    <w:rsid w:val="7B306B5D"/>
    <w:rsid w:val="7B4C0462"/>
    <w:rsid w:val="7B4C1736"/>
    <w:rsid w:val="7B9C6C88"/>
    <w:rsid w:val="7C2F3803"/>
    <w:rsid w:val="7C2F3AA5"/>
    <w:rsid w:val="7C441F99"/>
    <w:rsid w:val="7C502C05"/>
    <w:rsid w:val="7C5444EE"/>
    <w:rsid w:val="7C6D40E5"/>
    <w:rsid w:val="7C6F26AB"/>
    <w:rsid w:val="7CAA7BD1"/>
    <w:rsid w:val="7CAD7EF1"/>
    <w:rsid w:val="7CB83C4A"/>
    <w:rsid w:val="7CD21D14"/>
    <w:rsid w:val="7D3D4DAB"/>
    <w:rsid w:val="7D6030C7"/>
    <w:rsid w:val="7D814107"/>
    <w:rsid w:val="7DE065CB"/>
    <w:rsid w:val="7DF40E0E"/>
    <w:rsid w:val="7E2D34B4"/>
    <w:rsid w:val="7E327A4F"/>
    <w:rsid w:val="7E341526"/>
    <w:rsid w:val="7E6F756D"/>
    <w:rsid w:val="7E935C04"/>
    <w:rsid w:val="7EEF3CE9"/>
    <w:rsid w:val="7F0F2882"/>
    <w:rsid w:val="7F251B1B"/>
    <w:rsid w:val="7F4819FB"/>
    <w:rsid w:val="7F58375E"/>
    <w:rsid w:val="7F69071F"/>
    <w:rsid w:val="7F6B4CDB"/>
    <w:rsid w:val="7F7D24AA"/>
    <w:rsid w:val="7FCC62D5"/>
    <w:rsid w:val="7FCC6BCB"/>
    <w:rsid w:val="7FEB6A0B"/>
    <w:rsid w:val="7FF112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jc w:val="center"/>
      <w:outlineLvl w:val="0"/>
    </w:pPr>
    <w:rPr>
      <w:rFonts w:ascii="宋体" w:hAnsi="宋体"/>
      <w:color w:val="FF0000"/>
      <w:sz w:val="28"/>
    </w:rPr>
  </w:style>
  <w:style w:type="paragraph" w:styleId="4">
    <w:name w:val="heading 2"/>
    <w:basedOn w:val="1"/>
    <w:next w:val="1"/>
    <w:link w:val="34"/>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Salutation"/>
    <w:basedOn w:val="1"/>
    <w:next w:val="1"/>
    <w:qFormat/>
    <w:uiPriority w:val="0"/>
    <w:rPr>
      <w:sz w:val="28"/>
    </w:rPr>
  </w:style>
  <w:style w:type="paragraph" w:styleId="8">
    <w:name w:val="Body Text Indent"/>
    <w:basedOn w:val="1"/>
    <w:qFormat/>
    <w:uiPriority w:val="0"/>
    <w:pPr>
      <w:spacing w:line="500" w:lineRule="exact"/>
      <w:ind w:left="2" w:firstLine="636" w:firstLineChars="265"/>
    </w:pPr>
    <w:rPr>
      <w:rFonts w:ascii="宋体" w:hAnsi="宋体"/>
      <w:bCs/>
      <w:sz w:val="24"/>
    </w:rPr>
  </w:style>
  <w:style w:type="paragraph" w:styleId="9">
    <w:name w:val="toc 3"/>
    <w:basedOn w:val="1"/>
    <w:next w:val="1"/>
    <w:unhideWhenUsed/>
    <w:qFormat/>
    <w:uiPriority w:val="39"/>
    <w:pPr>
      <w:widowControl/>
      <w:spacing w:after="100" w:line="276" w:lineRule="auto"/>
      <w:ind w:left="440"/>
      <w:jc w:val="left"/>
    </w:pPr>
    <w:rPr>
      <w:kern w:val="0"/>
      <w:sz w:val="22"/>
      <w:szCs w:val="22"/>
    </w:rPr>
  </w:style>
  <w:style w:type="paragraph" w:styleId="10">
    <w:name w:val="Plain Text"/>
    <w:basedOn w:val="1"/>
    <w:qFormat/>
    <w:uiPriority w:val="0"/>
    <w:rPr>
      <w:rFonts w:ascii="宋体" w:hAnsi="Courier New"/>
    </w:rPr>
  </w:style>
  <w:style w:type="paragraph" w:styleId="11">
    <w:name w:val="Balloon Text"/>
    <w:basedOn w:val="1"/>
    <w:link w:val="35"/>
    <w:qFormat/>
    <w:uiPriority w:val="0"/>
    <w:rPr>
      <w:sz w:val="18"/>
      <w:szCs w:val="18"/>
    </w:rPr>
  </w:style>
  <w:style w:type="paragraph" w:styleId="12">
    <w:name w:val="footer"/>
    <w:basedOn w:val="1"/>
    <w:link w:val="38"/>
    <w:qFormat/>
    <w:uiPriority w:val="99"/>
    <w:pPr>
      <w:tabs>
        <w:tab w:val="center" w:pos="4153"/>
        <w:tab w:val="right" w:pos="8306"/>
      </w:tabs>
      <w:snapToGrid w:val="0"/>
      <w:jc w:val="left"/>
    </w:pPr>
    <w:rPr>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kern w:val="0"/>
      <w:sz w:val="22"/>
      <w:szCs w:val="22"/>
    </w:rPr>
  </w:style>
  <w:style w:type="paragraph" w:styleId="15">
    <w:name w:val="toc 4"/>
    <w:basedOn w:val="1"/>
    <w:next w:val="1"/>
    <w:qFormat/>
    <w:uiPriority w:val="39"/>
    <w:pPr>
      <w:ind w:left="1260" w:leftChars="600"/>
    </w:pPr>
  </w:style>
  <w:style w:type="paragraph" w:styleId="16">
    <w:name w:val="Subtitle"/>
    <w:basedOn w:val="1"/>
    <w:qFormat/>
    <w:uiPriority w:val="0"/>
    <w:pPr>
      <w:jc w:val="center"/>
    </w:pPr>
    <w:rPr>
      <w:kern w:val="0"/>
      <w:sz w:val="20"/>
      <w:u w:val="single"/>
      <w:lang w:eastAsia="en-US"/>
    </w:rPr>
  </w:style>
  <w:style w:type="paragraph" w:styleId="17">
    <w:name w:val="footnote text"/>
    <w:basedOn w:val="1"/>
    <w:qFormat/>
    <w:uiPriority w:val="0"/>
    <w:pPr>
      <w:snapToGrid w:val="0"/>
      <w:jc w:val="left"/>
    </w:pPr>
    <w:rPr>
      <w:rFonts w:ascii="Arial" w:hAnsi="Arial" w:cs="Arial"/>
      <w:kern w:val="0"/>
      <w:sz w:val="18"/>
      <w:szCs w:val="18"/>
      <w:lang w:eastAsia="en-US"/>
    </w:rPr>
  </w:style>
  <w:style w:type="paragraph" w:styleId="18">
    <w:name w:val="toc 2"/>
    <w:basedOn w:val="1"/>
    <w:next w:val="1"/>
    <w:unhideWhenUsed/>
    <w:qFormat/>
    <w:uiPriority w:val="39"/>
    <w:pPr>
      <w:widowControl/>
      <w:spacing w:after="100" w:line="276" w:lineRule="auto"/>
      <w:ind w:left="220"/>
      <w:jc w:val="left"/>
    </w:pPr>
    <w:rPr>
      <w:kern w:val="0"/>
      <w:sz w:val="22"/>
      <w:szCs w:val="22"/>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paragraph" w:styleId="21">
    <w:name w:val="Body Text First Indent"/>
    <w:basedOn w:val="2"/>
    <w:next w:val="1"/>
    <w:qFormat/>
    <w:uiPriority w:val="0"/>
    <w:pPr>
      <w:spacing w:line="360" w:lineRule="auto"/>
      <w:ind w:firstLine="420"/>
    </w:pPr>
    <w:rPr>
      <w:rFonts w:ascii="宋体" w:hAnsi="宋体"/>
      <w:sz w:val="24"/>
    </w:rPr>
  </w:style>
  <w:style w:type="table" w:styleId="23">
    <w:name w:val="Table Grid"/>
    <w:basedOn w:val="2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qFormat/>
    <w:uiPriority w:val="99"/>
    <w:rPr>
      <w:color w:val="0000FF"/>
      <w:u w:val="single"/>
    </w:rPr>
  </w:style>
  <w:style w:type="character" w:styleId="27">
    <w:name w:val="footnote reference"/>
    <w:qFormat/>
    <w:uiPriority w:val="0"/>
    <w:rPr>
      <w:vertAlign w:val="superscript"/>
    </w:rPr>
  </w:style>
  <w:style w:type="paragraph" w:customStyle="1" w:styleId="28">
    <w:name w:val="无间隔1"/>
    <w:basedOn w:val="1"/>
    <w:qFormat/>
    <w:uiPriority w:val="1"/>
    <w:pPr>
      <w:spacing w:line="400" w:lineRule="exact"/>
    </w:pPr>
    <w:rPr>
      <w:sz w:val="24"/>
    </w:rPr>
  </w:style>
  <w:style w:type="character" w:customStyle="1" w:styleId="29">
    <w:name w:val="font01"/>
    <w:basedOn w:val="24"/>
    <w:qFormat/>
    <w:uiPriority w:val="0"/>
    <w:rPr>
      <w:rFonts w:hint="eastAsia" w:ascii="宋体" w:hAnsi="宋体" w:eastAsia="宋体" w:cs="宋体"/>
      <w:color w:val="000000"/>
      <w:sz w:val="21"/>
      <w:szCs w:val="21"/>
      <w:u w:val="none"/>
    </w:rPr>
  </w:style>
  <w:style w:type="character" w:customStyle="1" w:styleId="30">
    <w:name w:val="font11"/>
    <w:basedOn w:val="24"/>
    <w:qFormat/>
    <w:uiPriority w:val="0"/>
    <w:rPr>
      <w:rFonts w:hint="eastAsia" w:ascii="宋体" w:hAnsi="宋体" w:eastAsia="宋体" w:cs="宋体"/>
      <w:color w:val="000000"/>
      <w:sz w:val="21"/>
      <w:szCs w:val="21"/>
      <w:u w:val="none"/>
    </w:rPr>
  </w:style>
  <w:style w:type="character" w:customStyle="1" w:styleId="31">
    <w:name w:val="页眉 Char"/>
    <w:basedOn w:val="24"/>
    <w:link w:val="13"/>
    <w:qFormat/>
    <w:uiPriority w:val="0"/>
    <w:rPr>
      <w:rFonts w:asciiTheme="minorHAnsi" w:hAnsiTheme="minorHAnsi" w:eastAsiaTheme="minorEastAsia" w:cstheme="minorBidi"/>
      <w:kern w:val="2"/>
      <w:sz w:val="18"/>
      <w:szCs w:val="18"/>
    </w:rPr>
  </w:style>
  <w:style w:type="character" w:customStyle="1" w:styleId="32">
    <w:name w:val="标题 Char"/>
    <w:basedOn w:val="24"/>
    <w:link w:val="20"/>
    <w:qFormat/>
    <w:uiPriority w:val="0"/>
    <w:rPr>
      <w:rFonts w:asciiTheme="majorHAnsi" w:hAnsiTheme="majorHAnsi" w:cstheme="majorBidi"/>
      <w:b/>
      <w:bCs/>
      <w:kern w:val="2"/>
      <w:sz w:val="32"/>
      <w:szCs w:val="32"/>
    </w:rPr>
  </w:style>
  <w:style w:type="paragraph" w:customStyle="1" w:styleId="33">
    <w:name w:val="List Paragraph"/>
    <w:basedOn w:val="1"/>
    <w:unhideWhenUsed/>
    <w:qFormat/>
    <w:uiPriority w:val="99"/>
    <w:pPr>
      <w:ind w:firstLine="420" w:firstLineChars="200"/>
    </w:pPr>
  </w:style>
  <w:style w:type="character" w:customStyle="1" w:styleId="34">
    <w:name w:val="标题 2 Char"/>
    <w:basedOn w:val="24"/>
    <w:link w:val="4"/>
    <w:qFormat/>
    <w:uiPriority w:val="0"/>
    <w:rPr>
      <w:rFonts w:ascii="Arial" w:hAnsi="Arial" w:eastAsia="黑体" w:cstheme="minorBidi"/>
      <w:b/>
      <w:bCs/>
      <w:kern w:val="2"/>
      <w:sz w:val="32"/>
      <w:szCs w:val="32"/>
    </w:rPr>
  </w:style>
  <w:style w:type="character" w:customStyle="1" w:styleId="35">
    <w:name w:val="批注框文本 Char"/>
    <w:basedOn w:val="24"/>
    <w:link w:val="11"/>
    <w:qFormat/>
    <w:uiPriority w:val="0"/>
    <w:rPr>
      <w:rFonts w:asciiTheme="minorHAnsi" w:hAnsiTheme="minorHAnsi" w:eastAsiaTheme="minorEastAsia" w:cstheme="minorBidi"/>
      <w:kern w:val="2"/>
      <w:sz w:val="18"/>
      <w:szCs w:val="18"/>
    </w:rPr>
  </w:style>
  <w:style w:type="character" w:customStyle="1" w:styleId="36">
    <w:name w:val="标题 4 Char"/>
    <w:basedOn w:val="24"/>
    <w:link w:val="6"/>
    <w:qFormat/>
    <w:uiPriority w:val="0"/>
    <w:rPr>
      <w:rFonts w:asciiTheme="majorHAnsi" w:hAnsiTheme="majorHAnsi" w:eastAsiaTheme="majorEastAsia" w:cstheme="majorBidi"/>
      <w:b/>
      <w:bCs/>
      <w:kern w:val="2"/>
      <w:sz w:val="28"/>
      <w:szCs w:val="28"/>
    </w:rPr>
  </w:style>
  <w:style w:type="paragraph" w:customStyle="1" w:styleId="37">
    <w:name w:val="TOC 标题1"/>
    <w:basedOn w:val="3"/>
    <w:next w:val="1"/>
    <w:unhideWhenUsed/>
    <w:qFormat/>
    <w:uiPriority w:val="39"/>
    <w:pPr>
      <w:keepLines/>
      <w:widowControl/>
      <w:spacing w:before="480" w:line="276" w:lineRule="auto"/>
      <w:jc w:val="left"/>
      <w:outlineLvl w:val="9"/>
    </w:pPr>
    <w:rPr>
      <w:rFonts w:asciiTheme="majorHAnsi" w:hAnsiTheme="majorHAnsi" w:eastAsiaTheme="majorEastAsia" w:cstheme="majorBidi"/>
      <w:b/>
      <w:bCs/>
      <w:color w:val="2E75B6" w:themeColor="accent1" w:themeShade="BF"/>
      <w:kern w:val="0"/>
      <w:szCs w:val="28"/>
    </w:rPr>
  </w:style>
  <w:style w:type="character" w:customStyle="1" w:styleId="38">
    <w:name w:val="页脚 Char"/>
    <w:basedOn w:val="24"/>
    <w:link w:val="12"/>
    <w:qFormat/>
    <w:uiPriority w:val="99"/>
    <w:rPr>
      <w:rFonts w:asciiTheme="minorHAnsi" w:hAnsiTheme="minorHAnsi" w:eastAsiaTheme="minorEastAsia" w:cstheme="minorBidi"/>
      <w:kern w:val="2"/>
      <w:sz w:val="18"/>
      <w:szCs w:val="18"/>
    </w:rPr>
  </w:style>
  <w:style w:type="paragraph" w:customStyle="1" w:styleId="39">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 w:type="character" w:customStyle="1" w:styleId="40">
    <w:name w:val="NormalCharacter"/>
    <w:semiHidden/>
    <w:qFormat/>
    <w:uiPriority w:val="0"/>
  </w:style>
  <w:style w:type="paragraph" w:customStyle="1" w:styleId="41">
    <w:name w:val="UserStyle_135"/>
    <w:basedOn w:val="1"/>
    <w:qFormat/>
    <w:uiPriority w:val="0"/>
    <w:rPr>
      <w:kern w:val="0"/>
      <w:szCs w:val="21"/>
    </w:rPr>
  </w:style>
  <w:style w:type="paragraph" w:customStyle="1" w:styleId="42">
    <w:name w:val="Heading2"/>
    <w:basedOn w:val="1"/>
    <w:next w:val="1"/>
    <w:qFormat/>
    <w:uiPriority w:val="0"/>
    <w:pPr>
      <w:keepNext/>
      <w:keepLines/>
      <w:spacing w:before="260" w:after="260" w:line="416" w:lineRule="auto"/>
    </w:pPr>
    <w:rPr>
      <w:rFonts w:ascii="Cambria" w:hAnsi="Cambria" w:cs="Times New Roman"/>
      <w:b/>
      <w:bCs/>
      <w:sz w:val="32"/>
      <w:szCs w:val="32"/>
    </w:rPr>
  </w:style>
  <w:style w:type="paragraph" w:customStyle="1" w:styleId="43">
    <w:name w:val="Heading3"/>
    <w:basedOn w:val="1"/>
    <w:next w:val="1"/>
    <w:qFormat/>
    <w:uiPriority w:val="0"/>
    <w:pPr>
      <w:keepNext/>
      <w:keepLines/>
      <w:spacing w:before="260" w:after="260" w:line="416" w:lineRule="auto"/>
    </w:pPr>
    <w:rPr>
      <w:rFonts w:cs="Times New Roman"/>
      <w:b/>
      <w:bCs/>
      <w:sz w:val="32"/>
      <w:szCs w:val="32"/>
    </w:rPr>
  </w:style>
  <w:style w:type="paragraph" w:customStyle="1" w:styleId="44">
    <w:name w:val="UserStyle_139"/>
    <w:basedOn w:val="1"/>
    <w:next w:val="1"/>
    <w:qFormat/>
    <w:uiPriority w:val="0"/>
    <w:pPr>
      <w:spacing w:line="400" w:lineRule="exact"/>
    </w:pPr>
    <w:rPr>
      <w:sz w:val="24"/>
    </w:rPr>
  </w:style>
  <w:style w:type="character" w:customStyle="1" w:styleId="45">
    <w:name w:val="UserStyle_74"/>
    <w:qFormat/>
    <w:uiPriority w:val="0"/>
    <w:rPr>
      <w:rFonts w:ascii="Times New Roman" w:hAnsi="Times New Roman" w:eastAsia="宋体" w:cs="黑体"/>
      <w:kern w:val="2"/>
      <w:sz w:val="21"/>
      <w:szCs w:val="24"/>
      <w:lang w:val="en-US" w:eastAsia="zh-CN" w:bidi="ar-SA"/>
    </w:rPr>
  </w:style>
  <w:style w:type="paragraph" w:customStyle="1" w:styleId="46">
    <w:name w:val="UserStyle_160"/>
    <w:basedOn w:val="1"/>
    <w:qFormat/>
    <w:uiPriority w:val="0"/>
    <w:pPr>
      <w:spacing w:before="100" w:beforeAutospacing="1" w:after="100" w:afterAutospacing="1"/>
      <w:jc w:val="left"/>
    </w:pPr>
    <w:rPr>
      <w:rFonts w:ascii="宋体" w:hAnsi="宋体"/>
      <w:kern w:val="0"/>
      <w:sz w:val="24"/>
    </w:rPr>
  </w:style>
  <w:style w:type="paragraph" w:customStyle="1" w:styleId="47">
    <w:name w:val="2表格（表体）"/>
    <w:basedOn w:val="1"/>
    <w:qFormat/>
    <w:uiPriority w:val="99"/>
    <w:pPr>
      <w:spacing w:line="440" w:lineRule="exact"/>
      <w:ind w:firstLine="240" w:firstLineChars="100"/>
    </w:pPr>
  </w:style>
  <w:style w:type="paragraph" w:customStyle="1" w:styleId="48">
    <w:name w:val="90vb"/>
    <w:basedOn w:val="1"/>
    <w:qFormat/>
    <w:uiPriority w:val="0"/>
    <w:pPr>
      <w:spacing w:before="100" w:beforeAutospacing="1" w:after="100" w:afterAutospacing="1"/>
      <w:jc w:val="left"/>
    </w:pPr>
    <w:rPr>
      <w:rFonts w:ascii="宋体" w:hAnsi="宋体" w:cs="宋体"/>
      <w:kern w:val="0"/>
      <w:sz w:val="24"/>
    </w:rPr>
  </w:style>
  <w:style w:type="paragraph" w:customStyle="1" w:styleId="4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WPSOffice手动目录 1"/>
    <w:qFormat/>
    <w:uiPriority w:val="0"/>
    <w:pPr>
      <w:ind w:leftChars="0"/>
    </w:pPr>
    <w:rPr>
      <w:rFonts w:ascii="Times New Roman" w:hAnsi="Times New Roman" w:eastAsia="宋体" w:cs="Times New Roman"/>
      <w:sz w:val="20"/>
      <w:szCs w:val="20"/>
    </w:rPr>
  </w:style>
  <w:style w:type="paragraph" w:customStyle="1" w:styleId="51">
    <w:name w:val="（表头）表格"/>
    <w:basedOn w:val="1"/>
    <w:qFormat/>
    <w:uiPriority w:val="0"/>
    <w:pPr>
      <w:spacing w:line="440" w:lineRule="exact"/>
      <w:jc w:val="center"/>
    </w:pPr>
  </w:style>
  <w:style w:type="paragraph" w:customStyle="1" w:styleId="52">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24180-1355-4E6D-8FF9-2602F36A0A4E}">
  <ds:schemaRefs/>
</ds:datastoreItem>
</file>

<file path=docProps/app.xml><?xml version="1.0" encoding="utf-8"?>
<Properties xmlns="http://schemas.openxmlformats.org/officeDocument/2006/extended-properties" xmlns:vt="http://schemas.openxmlformats.org/officeDocument/2006/docPropsVTypes">
  <Template>Normal</Template>
  <Company>ZJ</Company>
  <Pages>41</Pages>
  <Words>16879</Words>
  <Characters>18031</Characters>
  <Lines>177</Lines>
  <Paragraphs>49</Paragraphs>
  <TotalTime>34</TotalTime>
  <ScaleCrop>false</ScaleCrop>
  <LinksUpToDate>false</LinksUpToDate>
  <CharactersWithSpaces>19147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2021-03-15T03:35:00Z</dcterms:created>
  <dc:creator>李冬梅</dc:creator>
  <cp:lastModifiedBy>娜娜</cp:lastModifiedBy>
  <cp:lastPrinted>2022-06-23T08:38:00Z</cp:lastPrinted>
  <dcterms:modified xsi:type="dcterms:W3CDTF">2023-06-21T03:05:52Z</dcterms:modified>
  <dc:title>工程</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990B779EBAFA4DF185717F95F206AF00_13</vt:lpwstr>
  </property>
  <property fmtid="{D5CDD505-2E9C-101B-9397-08002B2CF9AE}" pid="4" name="commondata">
    <vt:lpwstr>eyJoZGlkIjoiMTUyMGFjMzg3YTc1Mjc2NDQ4OWIwYTMwMTk1YjY3YjkifQ==</vt:lpwstr>
  </property>
</Properties>
</file>